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rPr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 </w:t>
      </w: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16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圈区域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语言服务研究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</w:t>
      </w:r>
      <w:proofErr w:type="gramStart"/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交流互鉴研究</w:t>
      </w:r>
      <w:proofErr w:type="gramEnd"/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3.公共语言服务评估体系构建研究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4.统编语文教材语言学知识向语文知识转化策略研究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组织引驻中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的语言规划及实践路径研究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12.中文国际传播服务文化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软实力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提升的创新路径与机制研究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lastRenderedPageBreak/>
        <w:t>三、一般项目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1.《通用规范汉字表》应用研究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2.汉字文化圈国家语言治理的比较研究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智库参与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全球治理的现状与路径研究</w:t>
      </w:r>
    </w:p>
    <w:p w:rsidR="00C6527F" w:rsidRDefault="00C6527F" w:rsidP="00C6527F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p w:rsidR="000E1414" w:rsidRDefault="000E1414">
      <w:pPr>
        <w:rPr>
          <w:rFonts w:hint="eastAsia"/>
        </w:rPr>
      </w:pPr>
    </w:p>
    <w:sectPr w:rsidR="000E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E1414"/>
    <w:rsid w:val="00C6527F"/>
    <w:rsid w:val="00E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陈淑端</dc:creator>
  <cp:keywords/>
  <dc:description/>
  <cp:lastModifiedBy>陈淑端</cp:lastModifiedBy>
  <cp:revision>2</cp:revision>
  <dcterms:created xsi:type="dcterms:W3CDTF">2023-06-12T07:30:00Z</dcterms:created>
  <dcterms:modified xsi:type="dcterms:W3CDTF">2023-06-12T07:31:00Z</dcterms:modified>
</cp:coreProperties>
</file>