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50" w:lineRule="atLeast"/>
        <w:ind w:left="0" w:right="0"/>
        <w:jc w:val="center"/>
        <w:rPr>
          <w:rFonts w:ascii="微软雅黑" w:hAnsi="微软雅黑" w:eastAsia="微软雅黑" w:cs="微软雅黑"/>
          <w:b w:val="0"/>
          <w:color w:val="157492"/>
          <w:sz w:val="42"/>
          <w:szCs w:val="42"/>
        </w:rPr>
      </w:pPr>
      <w:r>
        <w:rPr>
          <w:rFonts w:hint="eastAsia" w:ascii="微软雅黑" w:hAnsi="微软雅黑" w:eastAsia="微软雅黑" w:cs="微软雅黑"/>
          <w:b w:val="0"/>
          <w:color w:val="157492"/>
          <w:sz w:val="42"/>
          <w:szCs w:val="42"/>
          <w:bdr w:val="none" w:color="auto" w:sz="0" w:space="0"/>
        </w:rPr>
        <w:t>生态与资源工程学院易制毒管理政策</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center"/>
        <w:rPr>
          <w:rFonts w:hint="eastAsia" w:ascii="微软雅黑" w:hAnsi="微软雅黑" w:eastAsia="微软雅黑" w:cs="微软雅黑"/>
          <w:color w:val="3C3C3C"/>
          <w:sz w:val="18"/>
          <w:szCs w:val="18"/>
        </w:rPr>
      </w:pPr>
      <w:r>
        <w:rPr>
          <w:rFonts w:hint="eastAsia" w:ascii="微软雅黑" w:hAnsi="微软雅黑" w:eastAsia="微软雅黑" w:cs="微软雅黑"/>
          <w:kern w:val="0"/>
          <w:lang w:val="en-US" w:eastAsia="zh-CN" w:bidi="ar"/>
        </w:rPr>
        <w:t>发稿时间：2018-10-19浏览次数：</w:t>
      </w:r>
      <w:r>
        <w:rPr>
          <w:rFonts w:hint="eastAsia" w:ascii="微软雅黑" w:hAnsi="微软雅黑" w:eastAsia="微软雅黑" w:cs="微软雅黑"/>
          <w:vanish/>
          <w:kern w:val="0"/>
          <w:lang w:val="en-US" w:eastAsia="zh-CN" w:bidi="ar"/>
        </w:rPr>
        <w:t xml:space="preserve">19 </w:t>
      </w:r>
    </w:p>
    <w:p>
      <w:pPr>
        <w:pStyle w:val="4"/>
        <w:keepNext w:val="0"/>
        <w:keepLines w:val="0"/>
        <w:widowControl/>
        <w:suppressLineNumbers w:val="0"/>
        <w:spacing w:before="0" w:beforeAutospacing="0" w:after="0" w:afterAutospacing="0" w:line="360" w:lineRule="auto"/>
        <w:ind w:left="0" w:right="0"/>
        <w:jc w:val="center"/>
      </w:pPr>
      <w:r>
        <w:t> </w:t>
      </w:r>
    </w:p>
    <w:p>
      <w:pPr>
        <w:keepNext w:val="0"/>
        <w:keepLines w:val="0"/>
        <w:widowControl/>
        <w:numPr>
          <w:numId w:val="0"/>
        </w:numPr>
        <w:suppressLineNumbers w:val="0"/>
        <w:spacing w:before="0" w:beforeAutospacing="0" w:after="0" w:afterAutospacing="0" w:line="38" w:lineRule="atLeast"/>
        <w:ind w:left="1080" w:leftChars="0" w:right="0" w:rightChars="0"/>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720" w:right="0" w:firstLine="540" w:firstLineChars="200"/>
        <w:textAlignment w:val="auto"/>
      </w:pPr>
      <w:r>
        <w:rPr>
          <w:rFonts w:hint="eastAsia" w:ascii="宋体" w:hAnsi="宋体" w:eastAsia="宋体" w:cs="宋体"/>
          <w:sz w:val="27"/>
          <w:szCs w:val="27"/>
          <w:lang w:eastAsia="zh-CN"/>
        </w:rPr>
        <w:t>单位根据生产需要购买易制毒化学品的，应当在购买前向公安机关申请易制毒化学品购买许可证或备案证明。取得易制毒化学品购买许可证或备案证明后，方可购买易制毒化学品。</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720" w:right="0" w:firstLine="540" w:firstLineChars="200"/>
        <w:textAlignment w:val="auto"/>
      </w:pPr>
      <w:r>
        <w:rPr>
          <w:rFonts w:hint="eastAsia" w:ascii="宋体" w:hAnsi="宋体" w:eastAsia="宋体" w:cs="宋体"/>
          <w:sz w:val="27"/>
          <w:szCs w:val="27"/>
          <w:lang w:eastAsia="zh-CN"/>
        </w:rPr>
        <w:t>禁止使用现金或者实物进行易制毒化学品交易。</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720" w:right="0" w:firstLine="540" w:firstLineChars="200"/>
        <w:textAlignment w:val="auto"/>
      </w:pPr>
      <w:r>
        <w:rPr>
          <w:rFonts w:hint="eastAsia" w:ascii="宋体" w:hAnsi="宋体" w:eastAsia="宋体" w:cs="宋体"/>
          <w:sz w:val="27"/>
          <w:szCs w:val="27"/>
          <w:lang w:eastAsia="zh-CN"/>
        </w:rPr>
        <w:t>单位申请购买易制毒化学品购买许可证或备案证明的，应当在《易制毒化学品监管系统》中投交下列材料：</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216" w:right="0" w:firstLine="540" w:firstLineChars="200"/>
        <w:textAlignment w:val="auto"/>
      </w:pPr>
      <w:r>
        <w:rPr>
          <w:rFonts w:hint="eastAsia" w:ascii="宋体" w:hAnsi="宋体" w:eastAsia="宋体" w:cs="宋体"/>
          <w:sz w:val="27"/>
          <w:szCs w:val="27"/>
          <w:lang w:eastAsia="zh-CN"/>
        </w:rPr>
        <w:t>（一）供货方的营业执照副本、非药品类易制毒化学品生产（经营）许可证或备案证明、单位组织机构代码证以及法人代表身份证原件或复印件；</w:t>
      </w:r>
      <w:bookmarkStart w:id="0" w:name="_GoBack"/>
      <w:bookmarkEnd w:id="0"/>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720" w:right="0" w:firstLine="540" w:firstLineChars="200"/>
        <w:textAlignment w:val="auto"/>
      </w:pPr>
      <w:r>
        <w:rPr>
          <w:rFonts w:hint="eastAsia" w:ascii="宋体" w:hAnsi="宋体" w:eastAsia="宋体" w:cs="宋体"/>
          <w:sz w:val="27"/>
          <w:szCs w:val="27"/>
          <w:lang w:eastAsia="zh-CN"/>
        </w:rPr>
        <w:t>购买方的营业执照副本、单位组织机构代码证以及法人代表身份证原件或复印件；</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720" w:right="0" w:firstLine="540" w:firstLineChars="200"/>
        <w:textAlignment w:val="auto"/>
      </w:pPr>
      <w:r>
        <w:rPr>
          <w:rFonts w:hint="eastAsia" w:ascii="宋体" w:hAnsi="宋体" w:eastAsia="宋体" w:cs="宋体"/>
          <w:sz w:val="27"/>
          <w:szCs w:val="27"/>
          <w:lang w:eastAsia="zh-CN"/>
        </w:rPr>
        <w:t>购销合同；</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720" w:right="0" w:firstLine="540" w:firstLineChars="200"/>
        <w:textAlignment w:val="auto"/>
      </w:pPr>
      <w:r>
        <w:rPr>
          <w:rFonts w:hint="eastAsia" w:ascii="宋体" w:hAnsi="宋体" w:eastAsia="宋体" w:cs="宋体"/>
          <w:sz w:val="27"/>
          <w:szCs w:val="27"/>
          <w:lang w:eastAsia="zh-CN"/>
        </w:rPr>
        <w:t>合法使用需要证明（原件）；</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720" w:right="0" w:firstLine="540" w:firstLineChars="200"/>
        <w:textAlignment w:val="auto"/>
      </w:pPr>
      <w:r>
        <w:rPr>
          <w:rFonts w:hint="eastAsia" w:ascii="宋体" w:hAnsi="宋体" w:eastAsia="宋体" w:cs="宋体"/>
          <w:sz w:val="27"/>
          <w:szCs w:val="27"/>
          <w:lang w:eastAsia="zh-CN"/>
        </w:rPr>
        <w:t>经办人身份证原件。</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720" w:right="0" w:firstLine="540" w:firstLineChars="200"/>
        <w:textAlignment w:val="auto"/>
      </w:pPr>
      <w:r>
        <w:rPr>
          <w:rFonts w:hint="eastAsia" w:ascii="宋体" w:hAnsi="宋体" w:eastAsia="宋体" w:cs="宋体"/>
          <w:sz w:val="27"/>
          <w:szCs w:val="27"/>
          <w:lang w:eastAsia="zh-CN"/>
        </w:rPr>
        <w:t>个人购买第三类易制毒化学品的要提供下列材料：</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720" w:right="0" w:firstLine="540" w:firstLineChars="200"/>
        <w:textAlignment w:val="auto"/>
      </w:pPr>
      <w:r>
        <w:rPr>
          <w:rFonts w:hint="eastAsia" w:ascii="宋体" w:hAnsi="宋体" w:eastAsia="宋体" w:cs="宋体"/>
          <w:sz w:val="27"/>
          <w:szCs w:val="27"/>
          <w:lang w:eastAsia="zh-CN"/>
        </w:rPr>
        <w:t>购买人所在单位或居委会、村委会出具的证明个人及其购买第三类易制毒化学品用途的证明材料；</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720" w:right="0" w:firstLine="540" w:firstLineChars="200"/>
        <w:textAlignment w:val="auto"/>
      </w:pPr>
      <w:r>
        <w:rPr>
          <w:rFonts w:hint="eastAsia" w:ascii="宋体" w:hAnsi="宋体" w:eastAsia="宋体" w:cs="宋体"/>
          <w:sz w:val="27"/>
          <w:szCs w:val="27"/>
          <w:lang w:eastAsia="zh-CN"/>
        </w:rPr>
        <w:t>购买人填写购买易制毒化学品合法使用申请（签名并按拇指印）；购买人到所在地公安禁毒部门提交购买申请，并协助易制毒化学品专管人员在《易制毒化学品监管系统》中填写相关个人信息，确认后打印“第三类易制毒化学品购买备案证明”。</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720" w:right="0" w:firstLine="540" w:firstLineChars="200"/>
        <w:textAlignment w:val="auto"/>
      </w:pPr>
      <w:r>
        <w:rPr>
          <w:rFonts w:hint="eastAsia" w:ascii="宋体" w:hAnsi="宋体" w:eastAsia="宋体" w:cs="宋体"/>
          <w:sz w:val="27"/>
          <w:szCs w:val="27"/>
          <w:lang w:eastAsia="zh-CN"/>
        </w:rPr>
        <w:t>不得超过易制毒化学品购买许可证或备案证明上限定的数量购买易制毒化学品。</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720" w:right="0" w:firstLine="540" w:firstLineChars="200"/>
        <w:textAlignment w:val="auto"/>
      </w:pPr>
      <w:r>
        <w:rPr>
          <w:rFonts w:hint="eastAsia" w:ascii="宋体" w:hAnsi="宋体" w:eastAsia="宋体" w:cs="宋体"/>
          <w:sz w:val="27"/>
          <w:szCs w:val="27"/>
          <w:lang w:eastAsia="zh-CN"/>
        </w:rPr>
        <w:t>购买的易制毒化学品必须是本单位使用，不得以转让、转借等形式交给其他单位或个人使用，不得为其他单位代为办理购买证明。</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720" w:right="0" w:firstLine="540" w:firstLineChars="200"/>
        <w:textAlignment w:val="auto"/>
      </w:pPr>
      <w:r>
        <w:rPr>
          <w:rFonts w:hint="eastAsia" w:ascii="宋体" w:hAnsi="宋体" w:eastAsia="宋体" w:cs="宋体"/>
          <w:sz w:val="27"/>
          <w:szCs w:val="27"/>
          <w:lang w:eastAsia="zh-CN"/>
        </w:rPr>
        <w:t>购买易制毒化学品时，应向供货方明确易制毒化学品在跨区域运输时，必须办理易制毒化学品运输许可证或备案证明并交给运输车辆随车携带，否则将拒绝车辆入厂。</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720" w:right="0" w:firstLine="540" w:firstLineChars="200"/>
        <w:textAlignment w:val="auto"/>
      </w:pPr>
      <w:r>
        <w:rPr>
          <w:rFonts w:hint="eastAsia" w:ascii="宋体" w:hAnsi="宋体" w:eastAsia="宋体" w:cs="宋体"/>
          <w:sz w:val="27"/>
          <w:szCs w:val="27"/>
          <w:lang w:eastAsia="zh-CN"/>
        </w:rPr>
        <w:t>积极配合公安，安监等部门对易制毒化学品进行管理，主动接受监督和检查，配合公安机关打击毒品违法犯罪活动。</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720" w:right="0" w:firstLine="540" w:firstLineChars="200"/>
        <w:textAlignment w:val="auto"/>
      </w:pPr>
      <w:r>
        <w:rPr>
          <w:rFonts w:hint="eastAsia" w:ascii="宋体" w:hAnsi="宋体" w:eastAsia="宋体" w:cs="宋体"/>
          <w:sz w:val="27"/>
          <w:szCs w:val="27"/>
          <w:lang w:eastAsia="zh-CN"/>
        </w:rPr>
        <w:t>每年</w:t>
      </w:r>
      <w:r>
        <w:rPr>
          <w:sz w:val="27"/>
          <w:szCs w:val="27"/>
        </w:rPr>
        <w:t>3</w:t>
      </w:r>
      <w:r>
        <w:rPr>
          <w:rFonts w:hint="eastAsia" w:ascii="宋体" w:hAnsi="宋体" w:eastAsia="宋体" w:cs="宋体"/>
          <w:sz w:val="27"/>
          <w:szCs w:val="27"/>
          <w:lang w:eastAsia="zh-CN"/>
        </w:rPr>
        <w:t>月</w:t>
      </w:r>
      <w:r>
        <w:rPr>
          <w:sz w:val="27"/>
          <w:szCs w:val="27"/>
        </w:rPr>
        <w:t>31</w:t>
      </w:r>
      <w:r>
        <w:rPr>
          <w:rFonts w:hint="eastAsia" w:ascii="宋体" w:hAnsi="宋体" w:eastAsia="宋体" w:cs="宋体"/>
          <w:sz w:val="27"/>
          <w:szCs w:val="27"/>
          <w:lang w:eastAsia="zh-CN"/>
        </w:rPr>
        <w:t>日前向当地县级公安机关报告上年度的购买和食用情况。</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720" w:right="0" w:firstLine="540" w:firstLineChars="200"/>
        <w:textAlignment w:val="auto"/>
      </w:pPr>
      <w:r>
        <w:rPr>
          <w:rFonts w:hint="eastAsia" w:ascii="宋体" w:hAnsi="宋体" w:eastAsia="宋体" w:cs="宋体"/>
          <w:sz w:val="27"/>
          <w:szCs w:val="27"/>
          <w:lang w:eastAsia="zh-CN"/>
        </w:rPr>
        <w:t>易制毒化学品丢失、被盗、被抢的，应立即向当地公安机关报告。</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6808CC"/>
    <w:rsid w:val="216808C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5">
    <w:name w:val="Default Paragraph Font"/>
    <w:semiHidden/>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4">
    <w:name w:val="Normal (Web)"/>
    <w:basedOn w:val="1"/>
    <w:uiPriority w:val="0"/>
    <w:pPr>
      <w:spacing w:before="0" w:beforeAutospacing="1" w:after="0" w:afterAutospacing="1" w:line="15" w:lineRule="atLeast"/>
      <w:ind w:left="0" w:right="0"/>
      <w:jc w:val="left"/>
    </w:pPr>
    <w:rPr>
      <w:rFonts w:ascii="微软雅黑" w:hAnsi="微软雅黑" w:eastAsia="微软雅黑" w:cs="微软雅黑"/>
      <w:color w:val="3C3C3C"/>
      <w:kern w:val="0"/>
      <w:sz w:val="18"/>
      <w:szCs w:val="18"/>
      <w:lang w:val="en-US" w:eastAsia="zh-CN" w:bidi="ar"/>
    </w:rPr>
  </w:style>
  <w:style w:type="character" w:styleId="6">
    <w:name w:val="FollowedHyperlink"/>
    <w:basedOn w:val="5"/>
    <w:uiPriority w:val="0"/>
    <w:rPr>
      <w:color w:val="3C3C3C"/>
      <w:u w:val="none"/>
    </w:rPr>
  </w:style>
  <w:style w:type="character" w:styleId="7">
    <w:name w:val="Hyperlink"/>
    <w:basedOn w:val="5"/>
    <w:uiPriority w:val="0"/>
    <w:rPr>
      <w:color w:val="414141"/>
      <w:u w:val="none"/>
    </w:rPr>
  </w:style>
  <w:style w:type="character" w:customStyle="1" w:styleId="9">
    <w:name w:val="item-name"/>
    <w:basedOn w:val="5"/>
    <w:uiPriority w:val="0"/>
    <w:rPr>
      <w:bdr w:val="none" w:color="auto" w:sz="0" w:space="0"/>
    </w:rPr>
  </w:style>
  <w:style w:type="character" w:customStyle="1" w:styleId="10">
    <w:name w:val="item-name1"/>
    <w:basedOn w:val="5"/>
    <w:uiPriority w:val="0"/>
    <w:rPr>
      <w:bdr w:val="none" w:color="auto" w:sz="0" w:space="0"/>
    </w:rPr>
  </w:style>
  <w:style w:type="character" w:customStyle="1" w:styleId="11">
    <w:name w:val="item-name2"/>
    <w:basedOn w:val="5"/>
    <w:uiPriority w:val="0"/>
    <w:rPr>
      <w:bdr w:val="none" w:color="auto" w:sz="0" w:space="0"/>
    </w:rPr>
  </w:style>
  <w:style w:type="character" w:customStyle="1" w:styleId="12">
    <w:name w:val="item-name3"/>
    <w:basedOn w:val="5"/>
    <w:uiPriority w:val="0"/>
    <w:rPr>
      <w:bdr w:val="none" w:color="auto" w:sz="0" w:space="0"/>
    </w:rPr>
  </w:style>
  <w:style w:type="character" w:customStyle="1" w:styleId="13">
    <w:name w:val="column-name14"/>
    <w:basedOn w:val="5"/>
    <w:uiPriority w:val="0"/>
    <w:rPr>
      <w:color w:val="333333"/>
      <w:sz w:val="21"/>
      <w:szCs w:val="21"/>
    </w:rPr>
  </w:style>
  <w:style w:type="character" w:customStyle="1" w:styleId="14">
    <w:name w:val="column-name15"/>
    <w:basedOn w:val="5"/>
    <w:uiPriority w:val="0"/>
    <w:rPr>
      <w:color w:val="333333"/>
    </w:rPr>
  </w:style>
  <w:style w:type="character" w:customStyle="1" w:styleId="15">
    <w:name w:val="column-name16"/>
    <w:basedOn w:val="5"/>
    <w:uiPriority w:val="0"/>
    <w:rPr>
      <w:color w:val="333333"/>
      <w:bdr w:val="none" w:color="auto" w:sz="0" w:space="0"/>
    </w:rPr>
  </w:style>
  <w:style w:type="character" w:customStyle="1" w:styleId="16">
    <w:name w:val="column-name17"/>
    <w:basedOn w:val="5"/>
    <w:uiPriority w:val="0"/>
    <w:rPr>
      <w:color w:val="333333"/>
      <w:bdr w:val="none" w:color="auto" w:sz="0" w:space="0"/>
    </w:rPr>
  </w:style>
  <w:style w:type="paragraph" w:customStyle="1" w:styleId="17">
    <w:name w:val="arti_metas"/>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center"/>
    </w:pPr>
    <w:rPr>
      <w:kern w:val="0"/>
      <w:lang w:val="en-US" w:eastAsia="zh-CN" w:bidi="ar"/>
    </w:rPr>
  </w:style>
  <w:style w:type="character" w:customStyle="1" w:styleId="18">
    <w:name w:val="wp_visitcount1"/>
    <w:basedOn w:val="5"/>
    <w:uiPriority w:val="0"/>
    <w:rPr>
      <w:vanish/>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Office_11.1.0.7989_F1E327BC-269C-435d-A152-05C5408002CA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2011-02-24T07:52:00Z</dcterms:created>
  <dc:creator>Administrator</dc:creator>
  <cp:lastModifiedBy>Administrator</cp:lastModifiedBy>
  <dcterms:modified xsi:type="dcterms:W3CDTF">2011-02-24T07:56:13Z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2052-11.1.0.7989</vt:lpwstr>
  </property>
</Properties>
</file>