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关于举办2023年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秋</w:t>
      </w:r>
      <w:r>
        <w:rPr>
          <w:rFonts w:hint="eastAsia" w:ascii="方正小标宋简体" w:hAnsi="仿宋" w:eastAsia="方正小标宋简体"/>
          <w:sz w:val="44"/>
          <w:szCs w:val="44"/>
        </w:rPr>
        <w:t>季高校教师教育教学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基本素质和能力测试的通知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8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根据高等学校教师资格认定工作相关要求，组织高校教师教育教学基本素质和能力测试工作。现将有关事项通知如下：</w:t>
      </w:r>
    </w:p>
    <w:p>
      <w:pPr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一、测试对象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拟申请高校教师资格认定者有以下情形之一的，应参加教育教学基本素质和能力测试：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1.本科学历为非师范教育类专业。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2.申请任教学科与所学专业不一致。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color w:val="FF0000"/>
          <w:sz w:val="32"/>
          <w:szCs w:val="32"/>
        </w:rPr>
        <w:t>特别提示：本次测试只接受参加过</w:t>
      </w:r>
      <w:r>
        <w:rPr>
          <w:rFonts w:hint="eastAsia" w:ascii="仿宋_GB2312" w:hAnsi="仿宋" w:eastAsia="仿宋_GB2312" w:cs="华文仿宋"/>
          <w:color w:val="FF0000"/>
          <w:sz w:val="32"/>
          <w:szCs w:val="32"/>
          <w:lang w:val="en-US" w:eastAsia="zh-CN"/>
        </w:rPr>
        <w:t>福建省高等师资培训中心</w:t>
      </w:r>
      <w:r>
        <w:rPr>
          <w:rFonts w:hint="eastAsia" w:ascii="仿宋_GB2312" w:hAnsi="仿宋" w:eastAsia="仿宋_GB2312" w:cs="华文仿宋"/>
          <w:color w:val="FF0000"/>
          <w:sz w:val="32"/>
          <w:szCs w:val="32"/>
        </w:rPr>
        <w:t>举办的岗前培训的学员老师报名。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二、测试内容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" w:eastAsia="仿宋_GB2312" w:cs="华文仿宋"/>
          <w:sz w:val="32"/>
          <w:szCs w:val="32"/>
        </w:rPr>
      </w:pPr>
      <w:r>
        <w:rPr>
          <w:rFonts w:hint="eastAsia" w:ascii="仿宋_GB2312" w:hAnsi="仿宋" w:eastAsia="仿宋_GB2312" w:cs="华文仿宋"/>
          <w:sz w:val="32"/>
          <w:szCs w:val="32"/>
        </w:rPr>
        <w:t>请查阅《福建省高校教师教育教学基本素质和能力测试表》评分标准见（附件1）。</w:t>
      </w:r>
    </w:p>
    <w:p>
      <w:pPr>
        <w:spacing w:line="580" w:lineRule="exact"/>
        <w:ind w:right="-355" w:rightChars="-169"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三、测试形式</w:t>
      </w:r>
    </w:p>
    <w:p>
      <w:pPr>
        <w:spacing w:line="580" w:lineRule="exact"/>
        <w:ind w:right="-355" w:rightChars="-169" w:firstLine="63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采</w:t>
      </w:r>
      <w:r>
        <w:rPr>
          <w:rFonts w:ascii="仿宋_GB2312" w:hAnsi="黑体" w:eastAsia="仿宋_GB2312"/>
          <w:sz w:val="32"/>
          <w:szCs w:val="32"/>
        </w:rPr>
        <w:t>取线下现场</w:t>
      </w:r>
      <w:r>
        <w:rPr>
          <w:rFonts w:hint="eastAsia" w:ascii="仿宋_GB2312" w:hAnsi="黑体" w:eastAsia="仿宋_GB2312"/>
          <w:sz w:val="32"/>
          <w:szCs w:val="32"/>
        </w:rPr>
        <w:t>点</w:t>
      </w:r>
      <w:r>
        <w:rPr>
          <w:rFonts w:ascii="仿宋_GB2312" w:hAnsi="黑体" w:eastAsia="仿宋_GB2312"/>
          <w:sz w:val="32"/>
          <w:szCs w:val="32"/>
        </w:rPr>
        <w:t>评，</w:t>
      </w:r>
      <w:r>
        <w:rPr>
          <w:rFonts w:hint="eastAsia" w:ascii="仿宋_GB2312" w:hAnsi="黑体" w:eastAsia="仿宋_GB2312"/>
          <w:sz w:val="32"/>
          <w:szCs w:val="32"/>
        </w:rPr>
        <w:t>以微格教学形式进行测试。试讲时间为15分钟，试讲内容选取教案中的一个片段，试讲过程须有导入、讲授新课、小结等环节。教案和多媒体课件按照一节课（45分钟）设计，供评审查阅。</w:t>
      </w:r>
    </w:p>
    <w:p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四、申请测试人员参加测试时需提供的材料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1.本人身份证原件。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2.《福建省高校教师教育教学基本素质和能力测试表》一式</w:t>
      </w:r>
    </w:p>
    <w:p>
      <w:pPr>
        <w:spacing w:line="580" w:lineRule="exact"/>
        <w:ind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9月26日前提交至人事处盖章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3.所教课程教学大纲(格式参考附件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)、教案（格式参考附件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）、教材（1本为教材原件，另外3本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可简单复印教材封面及试讲章节</w:t>
      </w:r>
      <w:r>
        <w:rPr>
          <w:rFonts w:hint="eastAsia" w:ascii="仿宋_GB2312" w:eastAsia="仿宋_GB2312"/>
          <w:sz w:val="32"/>
          <w:szCs w:val="32"/>
        </w:rPr>
        <w:t>）各一式4份，以及配套的多媒体课件。</w:t>
      </w:r>
    </w:p>
    <w:p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五、测试时间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年10月中</w:t>
      </w:r>
      <w:r>
        <w:rPr>
          <w:rFonts w:ascii="仿宋_GB2312" w:eastAsia="仿宋_GB2312"/>
          <w:sz w:val="32"/>
          <w:szCs w:val="32"/>
        </w:rPr>
        <w:t>旬</w:t>
      </w:r>
      <w:r>
        <w:rPr>
          <w:rFonts w:hint="eastAsia" w:ascii="仿宋_GB2312" w:eastAsia="仿宋_GB2312"/>
          <w:sz w:val="32"/>
          <w:szCs w:val="32"/>
        </w:rPr>
        <w:t>开始，教师参加测试具体时间另行通知。申请测试者报名后，应按测试时间安排，准时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到现场签名确认，不得无故缺席。</w:t>
      </w:r>
    </w:p>
    <w:p>
      <w:pPr>
        <w:spacing w:line="580" w:lineRule="exact"/>
        <w:ind w:right="-355" w:rightChars="-169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六、测试地点</w:t>
      </w:r>
    </w:p>
    <w:p>
      <w:pPr>
        <w:spacing w:line="580" w:lineRule="exact"/>
        <w:ind w:right="-355" w:rightChars="-16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福建师范大学</w:t>
      </w:r>
      <w:r>
        <w:rPr>
          <w:rFonts w:ascii="仿宋_GB2312" w:eastAsia="仿宋_GB2312"/>
          <w:sz w:val="32"/>
          <w:szCs w:val="32"/>
        </w:rPr>
        <w:t>仓山</w:t>
      </w: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>科楼5楼</w:t>
      </w:r>
      <w:r>
        <w:rPr>
          <w:rFonts w:hint="eastAsia" w:ascii="仿宋_GB2312" w:eastAsia="仿宋_GB2312"/>
          <w:sz w:val="32"/>
          <w:szCs w:val="32"/>
        </w:rPr>
        <w:t>多</w:t>
      </w:r>
      <w:r>
        <w:rPr>
          <w:rFonts w:ascii="仿宋_GB2312" w:eastAsia="仿宋_GB2312"/>
          <w:sz w:val="32"/>
          <w:szCs w:val="32"/>
        </w:rPr>
        <w:t>媒体教室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color w:val="FF0000"/>
          <w:sz w:val="32"/>
          <w:szCs w:val="32"/>
        </w:rPr>
        <w:t>位</w:t>
      </w:r>
      <w:r>
        <w:rPr>
          <w:rFonts w:hint="eastAsia" w:ascii="仿宋_GB2312" w:eastAsia="仿宋_GB2312"/>
          <w:color w:val="FF0000"/>
          <w:sz w:val="32"/>
          <w:szCs w:val="32"/>
        </w:rPr>
        <w:t>置图</w:t>
      </w:r>
      <w:r>
        <w:rPr>
          <w:rFonts w:ascii="仿宋_GB2312" w:eastAsia="仿宋_GB2312"/>
          <w:color w:val="FF0000"/>
          <w:sz w:val="32"/>
          <w:szCs w:val="32"/>
        </w:rPr>
        <w:t>见附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8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600" w:right="-355" w:rightChars="-169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附件：1.福建省高校教师教育教学基本素质和能力测试表</w:t>
      </w:r>
    </w:p>
    <w:p>
      <w:pPr>
        <w:spacing w:line="600" w:lineRule="exact"/>
        <w:ind w:left="1604" w:leftChars="764"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3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w w:val="93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课程教学大纲(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eastAsia="仿宋_GB2312"/>
          <w:sz w:val="32"/>
          <w:szCs w:val="32"/>
        </w:rPr>
        <w:t>)</w:t>
      </w:r>
    </w:p>
    <w:p>
      <w:pPr>
        <w:spacing w:line="600" w:lineRule="exact"/>
        <w:ind w:left="1604" w:leftChars="764" w:right="-355" w:rightChars="-16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w w:val="95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教案（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600" w:lineRule="exact"/>
        <w:ind w:left="1604" w:leftChars="764" w:right="-355" w:rightChars="-169"/>
        <w:rPr>
          <w:rFonts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w w:val="95"/>
          <w:sz w:val="32"/>
          <w:szCs w:val="32"/>
        </w:rPr>
        <w:t>.福建师范大学</w:t>
      </w:r>
      <w:r>
        <w:rPr>
          <w:rFonts w:ascii="仿宋_GB2312" w:eastAsia="仿宋_GB2312"/>
          <w:w w:val="95"/>
          <w:sz w:val="32"/>
          <w:szCs w:val="32"/>
        </w:rPr>
        <w:t>仓山校区</w:t>
      </w:r>
      <w:r>
        <w:rPr>
          <w:rFonts w:hint="eastAsia" w:ascii="仿宋_GB2312" w:eastAsia="仿宋_GB2312"/>
          <w:w w:val="95"/>
          <w:sz w:val="32"/>
          <w:szCs w:val="32"/>
        </w:rPr>
        <w:t>文科</w:t>
      </w:r>
      <w:r>
        <w:rPr>
          <w:rFonts w:ascii="仿宋_GB2312" w:eastAsia="仿宋_GB2312"/>
          <w:w w:val="95"/>
          <w:sz w:val="32"/>
          <w:szCs w:val="32"/>
        </w:rPr>
        <w:t>楼</w:t>
      </w:r>
      <w:r>
        <w:rPr>
          <w:rFonts w:hint="eastAsia" w:ascii="仿宋_GB2312" w:eastAsia="仿宋_GB2312"/>
          <w:w w:val="95"/>
          <w:sz w:val="32"/>
          <w:szCs w:val="32"/>
        </w:rPr>
        <w:t>位置图</w:t>
      </w:r>
    </w:p>
    <w:p>
      <w:pPr>
        <w:spacing w:line="600" w:lineRule="exac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hint="default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教师工作部（人事处）</w:t>
      </w:r>
    </w:p>
    <w:p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2023年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-355" w:rightChars="-169"/>
        <w:rPr>
          <w:rFonts w:ascii="宋体" w:hAnsi="宋体" w:cs="宋体"/>
          <w:b/>
          <w:bCs/>
          <w:kern w:val="0"/>
          <w:sz w:val="30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right="-355" w:rightChars="-169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福建省高校教师教育教学基本素质和能力测试表</w:t>
      </w:r>
    </w:p>
    <w:p>
      <w:pPr>
        <w:rPr>
          <w:rFonts w:ascii="楷体" w:hAnsi="楷体" w:eastAsia="楷体" w:cs="宋体"/>
          <w:kern w:val="0"/>
          <w:sz w:val="28"/>
          <w:u w:val="single"/>
        </w:rPr>
      </w:pPr>
      <w:r>
        <w:rPr>
          <w:rFonts w:hint="eastAsia" w:ascii="楷体" w:hAnsi="楷体" w:eastAsia="楷体" w:cs="宋体"/>
          <w:kern w:val="0"/>
          <w:sz w:val="28"/>
        </w:rPr>
        <w:t>申请人单位（公章）：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    </w:t>
      </w:r>
      <w:r>
        <w:rPr>
          <w:rFonts w:hint="eastAsia" w:ascii="楷体" w:hAnsi="楷体" w:eastAsia="楷体" w:cs="宋体"/>
          <w:kern w:val="0"/>
          <w:sz w:val="28"/>
        </w:rPr>
        <w:t xml:space="preserve"> 测试时间：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</w:t>
      </w:r>
    </w:p>
    <w:tbl>
      <w:tblPr>
        <w:tblStyle w:val="3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618"/>
        <w:gridCol w:w="1501"/>
        <w:gridCol w:w="1559"/>
        <w:gridCol w:w="7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任教学科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(测试</w:t>
            </w:r>
            <w:r>
              <w:rPr>
                <w:rFonts w:ascii="宋体" w:hAnsi="宋体" w:cs="宋体"/>
                <w:kern w:val="0"/>
                <w:szCs w:val="21"/>
              </w:rPr>
              <w:t>学科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专业知识扎实，相关的知识面宽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实现教学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注重教学育人，强调立德树人，重视课程思政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掌握教材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组织课堂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6746" w:firstLineChars="28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课程教学大纲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2"/>
        <w:gridCol w:w="3096"/>
        <w:gridCol w:w="155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5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ind w:firstLine="3761" w:firstLineChars="1045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教  案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0"/>
        <w:gridCol w:w="2859"/>
        <w:gridCol w:w="827"/>
        <w:gridCol w:w="616"/>
        <w:gridCol w:w="801"/>
        <w:gridCol w:w="461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教学对象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17" w:firstLineChars="4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计划学时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教学单元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教学章节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教学目标</w:t>
            </w:r>
          </w:p>
        </w:tc>
        <w:tc>
          <w:tcPr>
            <w:tcW w:w="7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教学重点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教学难点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教学方法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教学手段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教学环节及其时间安排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教学内容与活动设计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作业设计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板书设计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教学反思</w:t>
            </w:r>
          </w:p>
        </w:tc>
        <w:tc>
          <w:tcPr>
            <w:tcW w:w="55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textAlignment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福建</w:t>
      </w:r>
      <w:r>
        <w:rPr>
          <w:rFonts w:ascii="仿宋_GB2312" w:eastAsia="仿宋_GB2312"/>
          <w:sz w:val="32"/>
          <w:szCs w:val="32"/>
        </w:rPr>
        <w:t>师范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ascii="仿宋_GB2312" w:eastAsia="仿宋_GB2312"/>
          <w:sz w:val="32"/>
          <w:szCs w:val="32"/>
        </w:rPr>
        <w:t>仓山校区</w:t>
      </w:r>
      <w:r>
        <w:rPr>
          <w:rFonts w:hint="eastAsia" w:ascii="仿宋_GB2312" w:eastAsia="仿宋_GB2312"/>
          <w:sz w:val="32"/>
          <w:szCs w:val="32"/>
        </w:rPr>
        <w:t>文科</w:t>
      </w:r>
      <w:r>
        <w:rPr>
          <w:rFonts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</w:rPr>
        <w:t>—位置</w:t>
      </w:r>
      <w:r>
        <w:rPr>
          <w:rFonts w:ascii="仿宋_GB2312" w:eastAsia="仿宋_GB2312"/>
          <w:sz w:val="32"/>
          <w:szCs w:val="32"/>
        </w:rPr>
        <w:t>图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ind w:right="724" w:rightChars="345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5759450" cy="3933825"/>
            <wp:effectExtent l="0" t="0" r="1270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地址：</w:t>
      </w:r>
      <w:r>
        <w:rPr>
          <w:rFonts w:ascii="宋体" w:hAnsi="宋体" w:cs="宋体"/>
          <w:kern w:val="0"/>
          <w:sz w:val="24"/>
          <w:szCs w:val="24"/>
        </w:rPr>
        <w:t>福建省福州市仓山区</w:t>
      </w:r>
      <w:r>
        <w:rPr>
          <w:rFonts w:hint="eastAsia" w:ascii="宋体" w:hAnsi="宋体" w:cs="宋体"/>
          <w:kern w:val="0"/>
          <w:sz w:val="24"/>
          <w:szCs w:val="24"/>
        </w:rPr>
        <w:t>上三</w:t>
      </w:r>
      <w:r>
        <w:rPr>
          <w:rFonts w:ascii="宋体" w:hAnsi="宋体" w:cs="宋体"/>
          <w:kern w:val="0"/>
          <w:sz w:val="24"/>
          <w:szCs w:val="24"/>
        </w:rPr>
        <w:t>路</w:t>
      </w:r>
      <w:r>
        <w:rPr>
          <w:rFonts w:hint="eastAsia" w:ascii="宋体" w:hAnsi="宋体" w:cs="宋体"/>
          <w:kern w:val="0"/>
          <w:sz w:val="24"/>
          <w:szCs w:val="24"/>
        </w:rPr>
        <w:t>32号</w:t>
      </w:r>
    </w:p>
    <w:p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交通线路：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公交车（</w:t>
      </w:r>
      <w:r>
        <w:rPr>
          <w:rFonts w:hint="eastAsia" w:ascii="宋体" w:hAnsi="宋体" w:cs="宋体"/>
          <w:kern w:val="0"/>
          <w:sz w:val="24"/>
          <w:szCs w:val="24"/>
        </w:rPr>
        <w:t>师大</w:t>
      </w:r>
      <w:r>
        <w:rPr>
          <w:rFonts w:ascii="宋体" w:hAnsi="宋体" w:cs="宋体"/>
          <w:kern w:val="0"/>
          <w:sz w:val="24"/>
          <w:szCs w:val="24"/>
        </w:rPr>
        <w:t>站</w:t>
      </w:r>
      <w:r>
        <w:rPr>
          <w:rFonts w:hint="eastAsia" w:ascii="宋体" w:hAnsi="宋体" w:cs="宋体"/>
          <w:kern w:val="0"/>
          <w:sz w:val="24"/>
          <w:szCs w:val="24"/>
        </w:rPr>
        <w:t>/程</w:t>
      </w:r>
      <w:r>
        <w:rPr>
          <w:rFonts w:ascii="宋体" w:hAnsi="宋体" w:cs="宋体"/>
          <w:kern w:val="0"/>
          <w:sz w:val="24"/>
          <w:szCs w:val="24"/>
        </w:rPr>
        <w:t>埔头站）：</w:t>
      </w:r>
      <w:r>
        <w:rPr>
          <w:rFonts w:hint="eastAsia" w:ascii="宋体" w:hAnsi="宋体" w:cs="宋体"/>
          <w:kern w:val="0"/>
          <w:sz w:val="24"/>
          <w:szCs w:val="24"/>
        </w:rPr>
        <w:t>4、20、</w:t>
      </w:r>
      <w:r>
        <w:rPr>
          <w:rFonts w:ascii="宋体" w:hAnsi="宋体" w:cs="宋体"/>
          <w:kern w:val="0"/>
          <w:sz w:val="24"/>
          <w:szCs w:val="24"/>
        </w:rPr>
        <w:t>26、</w:t>
      </w:r>
      <w:r>
        <w:rPr>
          <w:rFonts w:hint="eastAsia" w:ascii="宋体" w:hAnsi="宋体" w:cs="宋体"/>
          <w:kern w:val="0"/>
          <w:sz w:val="24"/>
          <w:szCs w:val="24"/>
        </w:rPr>
        <w:t>42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</w:rPr>
        <w:t>47、</w:t>
      </w:r>
      <w:r>
        <w:rPr>
          <w:rFonts w:ascii="宋体" w:hAnsi="宋体" w:cs="宋体"/>
          <w:kern w:val="0"/>
          <w:sz w:val="24"/>
          <w:szCs w:val="24"/>
        </w:rPr>
        <w:t>60、66、83、106、113</w:t>
      </w:r>
      <w:r>
        <w:rPr>
          <w:rFonts w:hint="eastAsia" w:ascii="宋体" w:hAnsi="宋体" w:cs="宋体"/>
          <w:kern w:val="0"/>
          <w:sz w:val="24"/>
          <w:szCs w:val="24"/>
        </w:rPr>
        <w:t>、115、124、126、157、K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路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地铁：地铁1号线上藤站，转地铁接驳15号专线</w:t>
      </w:r>
      <w:r>
        <w:rPr>
          <w:rFonts w:hint="eastAsia" w:ascii="宋体" w:hAnsi="宋体" w:cs="宋体"/>
          <w:kern w:val="0"/>
          <w:sz w:val="24"/>
          <w:szCs w:val="24"/>
        </w:rPr>
        <w:t xml:space="preserve">  师</w:t>
      </w:r>
      <w:r>
        <w:rPr>
          <w:rFonts w:ascii="宋体" w:hAnsi="宋体" w:cs="宋体"/>
          <w:kern w:val="0"/>
          <w:sz w:val="24"/>
          <w:szCs w:val="24"/>
        </w:rPr>
        <w:t>大站下车</w:t>
      </w:r>
    </w:p>
    <w:p>
      <w:pPr>
        <w:ind w:right="724" w:rightChars="345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E0YzQwM2Y3ZjczZDFiMThjMTVhMzI0N2ViNDkifQ=="/>
    <w:docVar w:name="KSO_WPS_MARK_KEY" w:val="591685b2-91c5-4739-99b0-d2f0293b259f"/>
  </w:docVars>
  <w:rsids>
    <w:rsidRoot w:val="00000000"/>
    <w:rsid w:val="027656EB"/>
    <w:rsid w:val="0FF614D4"/>
    <w:rsid w:val="37113C77"/>
    <w:rsid w:val="415F6A9C"/>
    <w:rsid w:val="5ED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customStyle="1" w:styleId="6">
    <w:name w:val="浅色底纹1"/>
    <w:basedOn w:val="3"/>
    <w:qFormat/>
    <w:uiPriority w:val="60"/>
    <w:pPr>
      <w:jc w:val="both"/>
    </w:pPr>
    <w:rPr>
      <w:color w:val="000000" w:themeColor="text1" w:themeShade="BF"/>
      <w:kern w:val="2"/>
      <w:sz w:val="21"/>
      <w:szCs w:val="22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2023-02-24T07:24:00Z</dcterms:created>
  <dc:creator>Administrator</dc:creator>
  <cp:lastModifiedBy>朱霞</cp:lastModifiedBy>
  <dcterms:modified xsi:type="dcterms:W3CDTF">2023-09-21T02:39:02Z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C6D509AA2B654AEAB256321C6105C688</vt:lpwstr>
  </property>
</Properties>
</file>