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ascii="微软雅黑" w:hAnsi="微软雅黑" w:eastAsia="微软雅黑" w:cs="微软雅黑"/>
          <w:b w:val="0"/>
          <w:color w:val="157492"/>
          <w:sz w:val="42"/>
          <w:szCs w:val="42"/>
        </w:rPr>
      </w:pPr>
      <w:r>
        <w:rPr>
          <w:rFonts w:hint="eastAsia" w:ascii="微软雅黑" w:hAnsi="微软雅黑" w:eastAsia="微软雅黑" w:cs="微软雅黑"/>
          <w:b w:val="0"/>
          <w:color w:val="157492"/>
          <w:sz w:val="42"/>
          <w:szCs w:val="42"/>
          <w:bdr w:val="none" w:color="auto" w:sz="0" w:space="0"/>
        </w:rPr>
        <w:t>生态与资源工程学院大型精密仪器使用管理制度</w:t>
      </w:r>
    </w:p>
    <w:p>
      <w:pPr>
        <w:pStyle w:val="17"/>
        <w:keepNext w:val="0"/>
        <w:keepLines w:val="0"/>
        <w:widowControl/>
        <w:suppressLineNumbers w:val="0"/>
        <w:spacing w:before="0" w:beforeAutospacing="0" w:after="0" w:afterAutospacing="0" w:line="15" w:lineRule="atLeast"/>
        <w:ind w:left="0" w:right="0"/>
      </w:pPr>
      <w:r>
        <w:rPr>
          <w:rFonts w:hint="eastAsia" w:ascii="微软雅黑" w:hAnsi="微软雅黑" w:eastAsia="微软雅黑" w:cs="微软雅黑"/>
        </w:rPr>
        <w:t>发稿时间：2018-10-19浏览次数：</w:t>
      </w:r>
      <w:r>
        <w:rPr>
          <w:rStyle w:val="18"/>
          <w:rFonts w:hint="eastAsia" w:ascii="微软雅黑" w:hAnsi="微软雅黑" w:eastAsia="微软雅黑" w:cs="微软雅黑"/>
        </w:rPr>
        <w:t xml:space="preserve">14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bookmarkStart w:id="0" w:name="_GoBack"/>
      <w:r>
        <w:rPr>
          <w:rFonts w:hint="eastAsia" w:ascii="宋体" w:hAnsi="宋体" w:eastAsia="宋体" w:cs="宋体"/>
          <w:color w:val="333333"/>
          <w:sz w:val="24"/>
          <w:szCs w:val="24"/>
          <w:bdr w:val="none" w:color="auto" w:sz="0" w:space="0"/>
          <w:lang w:eastAsia="zh-CN"/>
        </w:rPr>
        <w:t>大型精密仪器的使用管理遵循“预约使用”，“有偿使用”、“专管共用”原则。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大型精密仪器的使用，必须经过技术培训和考核合格后方可独立使用，其他人员必须在有独立使用资格人员的指导下进行使用。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使用操作时必须按照各仪器标准操作规程进行，操作过程中若发现异常情况，应立即停止使用并及时报告，分析原因待故障排除后再使用。凡不按操作规程进行操作或因失职造成仪器损坏、性能下降、 锈蚀、丢失等事故，责任完全由管理人员或使用者自负。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每次使用结束后，必须按照要求详细填写仪器使用记录，并及时清理仪器、实验台面，保持室内清洁卫生。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大型精密仪器专管人员必须认真钻研所管仪器的各种技术资料，必须熟悉仪器及各部件的结构、构造原理、用途、性能、维护保养技术，并严格按要求进行维护和管理。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管理员应定期对各精密仪器进行维护保养，保证仪器设备及其配件的完好率和固有精密度。 仪器发生故障时应及时排除，仪器被损坏时要及时查明损坏原因及损坏程度，做好记录，分清事故责任，并报告实验室主任进行处理。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管理员应保管好本室仪器设备的所有说明书、技术资料、重要数据；高度重视附属设备、备用零、配件等的管理，不得有丢失、锈蚀等事故发生。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室内所有仪器、设备及附件未经批准一律不得外借，不准带出实验室外。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82" w:afterAutospacing="0" w:line="360" w:lineRule="auto"/>
        <w:ind w:left="720" w:right="0" w:firstLine="480" w:firstLineChars="200"/>
        <w:textAlignment w:val="auto"/>
      </w:pPr>
      <w:r>
        <w:rPr>
          <w:rFonts w:hint="eastAsia" w:ascii="宋体" w:hAnsi="宋体" w:eastAsia="宋体" w:cs="宋体"/>
          <w:color w:val="333333"/>
          <w:sz w:val="24"/>
          <w:szCs w:val="24"/>
          <w:bdr w:val="none" w:color="auto" w:sz="0" w:space="0"/>
          <w:lang w:eastAsia="zh-CN"/>
        </w:rPr>
        <w:t>管理员有权拒绝不遵守本使用与管理制度人员使用实验室，有制止违反实验室相关制度行为以及对违规人员进行批评教育的权力。</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C0745"/>
    <w:rsid w:val="48AC07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line="15" w:lineRule="atLeast"/>
      <w:ind w:left="0" w:right="0"/>
      <w:jc w:val="left"/>
    </w:pPr>
    <w:rPr>
      <w:rFonts w:ascii="微软雅黑" w:hAnsi="微软雅黑" w:eastAsia="微软雅黑" w:cs="微软雅黑"/>
      <w:color w:val="3C3C3C"/>
      <w:kern w:val="0"/>
      <w:sz w:val="18"/>
      <w:szCs w:val="18"/>
      <w:lang w:val="en-US" w:eastAsia="zh-CN" w:bidi="ar"/>
    </w:rPr>
  </w:style>
  <w:style w:type="character" w:styleId="6">
    <w:name w:val="FollowedHyperlink"/>
    <w:basedOn w:val="5"/>
    <w:uiPriority w:val="0"/>
    <w:rPr>
      <w:color w:val="3C3C3C"/>
      <w:u w:val="none"/>
    </w:rPr>
  </w:style>
  <w:style w:type="character" w:styleId="7">
    <w:name w:val="Hyperlink"/>
    <w:basedOn w:val="5"/>
    <w:uiPriority w:val="0"/>
    <w:rPr>
      <w:color w:val="414141"/>
      <w:u w:val="none"/>
    </w:rPr>
  </w:style>
  <w:style w:type="character" w:customStyle="1" w:styleId="9">
    <w:name w:val="column-name14"/>
    <w:basedOn w:val="5"/>
    <w:uiPriority w:val="0"/>
    <w:rPr>
      <w:color w:val="333333"/>
      <w:sz w:val="21"/>
      <w:szCs w:val="21"/>
    </w:rPr>
  </w:style>
  <w:style w:type="character" w:customStyle="1" w:styleId="10">
    <w:name w:val="column-name15"/>
    <w:basedOn w:val="5"/>
    <w:uiPriority w:val="0"/>
    <w:rPr>
      <w:color w:val="333333"/>
    </w:rPr>
  </w:style>
  <w:style w:type="character" w:customStyle="1" w:styleId="11">
    <w:name w:val="column-name16"/>
    <w:basedOn w:val="5"/>
    <w:uiPriority w:val="0"/>
    <w:rPr>
      <w:color w:val="333333"/>
      <w:bdr w:val="none" w:color="auto" w:sz="0" w:space="0"/>
    </w:rPr>
  </w:style>
  <w:style w:type="character" w:customStyle="1" w:styleId="12">
    <w:name w:val="column-name17"/>
    <w:basedOn w:val="5"/>
    <w:uiPriority w:val="0"/>
    <w:rPr>
      <w:color w:val="333333"/>
      <w:bdr w:val="none" w:color="auto" w:sz="0" w:space="0"/>
    </w:rPr>
  </w:style>
  <w:style w:type="character" w:customStyle="1" w:styleId="13">
    <w:name w:val="item-name"/>
    <w:basedOn w:val="5"/>
    <w:uiPriority w:val="0"/>
    <w:rPr>
      <w:bdr w:val="none" w:color="auto" w:sz="0" w:space="0"/>
    </w:rPr>
  </w:style>
  <w:style w:type="character" w:customStyle="1" w:styleId="14">
    <w:name w:val="item-name1"/>
    <w:basedOn w:val="5"/>
    <w:uiPriority w:val="0"/>
    <w:rPr>
      <w:bdr w:val="none" w:color="auto" w:sz="0" w:space="0"/>
    </w:rPr>
  </w:style>
  <w:style w:type="character" w:customStyle="1" w:styleId="15">
    <w:name w:val="item-name2"/>
    <w:basedOn w:val="5"/>
    <w:uiPriority w:val="0"/>
    <w:rPr>
      <w:bdr w:val="none" w:color="auto" w:sz="0" w:space="0"/>
    </w:rPr>
  </w:style>
  <w:style w:type="character" w:customStyle="1" w:styleId="16">
    <w:name w:val="item-name3"/>
    <w:basedOn w:val="5"/>
    <w:uiPriority w:val="0"/>
    <w:rPr>
      <w:bdr w:val="none" w:color="auto" w:sz="0" w:space="0"/>
    </w:rPr>
  </w:style>
  <w:style w:type="paragraph" w:customStyle="1" w:styleId="17">
    <w:name w:val="arti_metas"/>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kern w:val="0"/>
      <w:lang w:val="en-US" w:eastAsia="zh-CN" w:bidi="ar"/>
    </w:rPr>
  </w:style>
  <w:style w:type="character" w:customStyle="1" w:styleId="18">
    <w:name w:val="wp_visitcount1"/>
    <w:basedOn w:val="5"/>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2011-02-24T08:02:00Z</dcterms:created>
  <dc:creator>Administrator</dc:creator>
  <cp:lastModifiedBy>Administrator</cp:lastModifiedBy>
  <dcterms:modified xsi:type="dcterms:W3CDTF">2011-02-24T08:04:23Z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