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Style w:val="14"/>
          <w:rFonts w:hint="eastAsia" w:ascii="宋体" w:hAnsi="宋体" w:eastAsia="宋体" w:cs="宋体"/>
          <w:b/>
          <w:bCs/>
          <w:i w:val="0"/>
          <w:iCs w:val="0"/>
          <w:caps w:val="0"/>
          <w:color w:val="auto"/>
          <w:spacing w:val="0"/>
          <w:sz w:val="84"/>
          <w:szCs w:val="84"/>
          <w:shd w:val="clear" w:fill="FFFFFF"/>
        </w:rPr>
      </w:pP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auto"/>
          <w:spacing w:val="0"/>
          <w:sz w:val="84"/>
          <w:szCs w:val="84"/>
        </w:rPr>
      </w:pPr>
      <w:r>
        <w:rPr>
          <w:rStyle w:val="14"/>
          <w:rFonts w:hint="eastAsia" w:ascii="宋体" w:hAnsi="宋体" w:eastAsia="宋体" w:cs="宋体"/>
          <w:b/>
          <w:bCs/>
          <w:i w:val="0"/>
          <w:iCs w:val="0"/>
          <w:caps w:val="0"/>
          <w:color w:val="auto"/>
          <w:spacing w:val="0"/>
          <w:sz w:val="84"/>
          <w:szCs w:val="84"/>
          <w:shd w:val="clear" w:fill="FFFFFF"/>
        </w:rPr>
        <w:t>福建省政府采购</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auto"/>
          <w:spacing w:val="0"/>
          <w:sz w:val="84"/>
          <w:szCs w:val="84"/>
        </w:rPr>
      </w:pPr>
      <w:r>
        <w:rPr>
          <w:rStyle w:val="14"/>
          <w:rFonts w:hint="eastAsia" w:ascii="宋体" w:hAnsi="宋体" w:eastAsia="宋体" w:cs="宋体"/>
          <w:b/>
          <w:bCs/>
          <w:i w:val="0"/>
          <w:iCs w:val="0"/>
          <w:caps w:val="0"/>
          <w:color w:val="auto"/>
          <w:spacing w:val="0"/>
          <w:sz w:val="84"/>
          <w:szCs w:val="84"/>
          <w:shd w:val="clear" w:fill="FFFFFF"/>
        </w:rPr>
        <w:t>货物和服务项目</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auto"/>
          <w:spacing w:val="0"/>
          <w:sz w:val="84"/>
          <w:szCs w:val="84"/>
        </w:rPr>
      </w:pPr>
      <w:r>
        <w:rPr>
          <w:rStyle w:val="14"/>
          <w:rFonts w:hint="eastAsia" w:ascii="宋体" w:hAnsi="宋体" w:eastAsia="宋体" w:cs="宋体"/>
          <w:b/>
          <w:bCs/>
          <w:i w:val="0"/>
          <w:iCs w:val="0"/>
          <w:caps w:val="0"/>
          <w:color w:val="auto"/>
          <w:spacing w:val="0"/>
          <w:sz w:val="84"/>
          <w:szCs w:val="84"/>
          <w:shd w:val="clear" w:fill="FFFFFF"/>
        </w:rPr>
        <w:t>公开招标文件</w:t>
      </w:r>
    </w:p>
    <w:p>
      <w:pPr>
        <w:pStyle w:val="10"/>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iCs w:val="0"/>
          <w:caps w:val="0"/>
          <w:color w:val="auto"/>
          <w:spacing w:val="0"/>
          <w:sz w:val="24"/>
          <w:szCs w:val="24"/>
        </w:rPr>
      </w:pPr>
      <w:r>
        <w:rPr>
          <w:rStyle w:val="14"/>
          <w:rFonts w:hint="eastAsia" w:ascii="宋体" w:hAnsi="宋体" w:eastAsia="宋体" w:cs="宋体"/>
          <w:b/>
          <w:bCs/>
          <w:i w:val="0"/>
          <w:iCs w:val="0"/>
          <w:caps w:val="0"/>
          <w:color w:val="auto"/>
          <w:spacing w:val="0"/>
          <w:sz w:val="24"/>
          <w:szCs w:val="24"/>
          <w:shd w:val="clear" w:fill="FFFFFF"/>
        </w:rPr>
        <w:t>     </w:t>
      </w:r>
    </w:p>
    <w:p>
      <w:pPr>
        <w:pStyle w:val="10"/>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iCs w:val="0"/>
          <w:caps w:val="0"/>
          <w:color w:val="auto"/>
          <w:spacing w:val="0"/>
          <w:sz w:val="24"/>
          <w:szCs w:val="24"/>
        </w:rPr>
      </w:pPr>
      <w:r>
        <w:rPr>
          <w:rStyle w:val="14"/>
          <w:rFonts w:hint="eastAsia" w:ascii="宋体" w:hAnsi="宋体" w:eastAsia="宋体" w:cs="宋体"/>
          <w:b/>
          <w:bCs/>
          <w:i w:val="0"/>
          <w:iCs w:val="0"/>
          <w:caps w:val="0"/>
          <w:color w:val="auto"/>
          <w:spacing w:val="0"/>
          <w:sz w:val="24"/>
          <w:szCs w:val="24"/>
          <w:shd w:val="clear" w:fill="FFFFFF"/>
        </w:rPr>
        <w:t> </w:t>
      </w:r>
    </w:p>
    <w:p>
      <w:pPr>
        <w:pStyle w:val="10"/>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iCs w:val="0"/>
          <w:caps w:val="0"/>
          <w:color w:val="auto"/>
          <w:spacing w:val="0"/>
          <w:sz w:val="24"/>
          <w:szCs w:val="24"/>
        </w:rPr>
      </w:pPr>
      <w:r>
        <w:rPr>
          <w:rStyle w:val="14"/>
          <w:rFonts w:hint="eastAsia" w:ascii="宋体" w:hAnsi="宋体" w:eastAsia="宋体" w:cs="宋体"/>
          <w:b/>
          <w:bCs/>
          <w:i w:val="0"/>
          <w:iCs w:val="0"/>
          <w:caps w:val="0"/>
          <w:color w:val="auto"/>
          <w:spacing w:val="0"/>
          <w:sz w:val="24"/>
          <w:szCs w:val="24"/>
          <w:shd w:val="clear" w:fill="FFFFFF"/>
        </w:rPr>
        <w:t> </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auto"/>
          <w:spacing w:val="0"/>
          <w:sz w:val="32"/>
          <w:szCs w:val="32"/>
        </w:rPr>
      </w:pPr>
      <w:r>
        <w:rPr>
          <w:rStyle w:val="14"/>
          <w:rFonts w:hint="eastAsia" w:ascii="宋体" w:hAnsi="宋体" w:eastAsia="宋体" w:cs="宋体"/>
          <w:b/>
          <w:bCs/>
          <w:i w:val="0"/>
          <w:iCs w:val="0"/>
          <w:caps w:val="0"/>
          <w:color w:val="auto"/>
          <w:spacing w:val="0"/>
          <w:sz w:val="32"/>
          <w:szCs w:val="32"/>
          <w:shd w:val="clear" w:fill="FFFFFF"/>
        </w:rPr>
        <w:t>项目名称：</w:t>
      </w:r>
      <w:r>
        <w:rPr>
          <w:rFonts w:hint="eastAsia" w:ascii="宋体" w:hAnsi="宋体" w:eastAsia="宋体" w:cs="宋体"/>
          <w:b/>
          <w:bCs/>
          <w:i w:val="0"/>
          <w:iCs w:val="0"/>
          <w:caps w:val="0"/>
          <w:color w:val="auto"/>
          <w:spacing w:val="0"/>
          <w:sz w:val="32"/>
          <w:szCs w:val="32"/>
          <w:shd w:val="clear" w:fill="FFFFFF"/>
        </w:rPr>
        <w:t>武夷学院电力参数测量与电子实验设备更新采购项目</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14"/>
          <w:rFonts w:hint="eastAsia" w:ascii="宋体" w:hAnsi="宋体" w:eastAsia="宋体" w:cs="宋体"/>
          <w:b/>
          <w:bCs/>
          <w:i w:val="0"/>
          <w:iCs w:val="0"/>
          <w:caps w:val="0"/>
          <w:color w:val="auto"/>
          <w:spacing w:val="0"/>
          <w:sz w:val="32"/>
          <w:szCs w:val="32"/>
          <w:shd w:val="clear" w:fill="FFFFFF"/>
        </w:rPr>
      </w:pPr>
      <w:r>
        <w:rPr>
          <w:rStyle w:val="14"/>
          <w:rFonts w:hint="eastAsia" w:ascii="宋体" w:hAnsi="宋体" w:eastAsia="宋体" w:cs="宋体"/>
          <w:b/>
          <w:bCs/>
          <w:i w:val="0"/>
          <w:iCs w:val="0"/>
          <w:caps w:val="0"/>
          <w:color w:val="auto"/>
          <w:spacing w:val="0"/>
          <w:sz w:val="32"/>
          <w:szCs w:val="32"/>
          <w:shd w:val="clear" w:fill="FFFFFF"/>
        </w:rPr>
        <w:t>备案编号：H-WY-GK-202211-B0603-IDN</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auto"/>
          <w:spacing w:val="0"/>
          <w:sz w:val="24"/>
          <w:szCs w:val="24"/>
        </w:rPr>
      </w:pPr>
      <w:r>
        <w:rPr>
          <w:rStyle w:val="14"/>
          <w:rFonts w:hint="eastAsia" w:ascii="宋体" w:hAnsi="宋体" w:eastAsia="宋体" w:cs="宋体"/>
          <w:b/>
          <w:bCs/>
          <w:i w:val="0"/>
          <w:iCs w:val="0"/>
          <w:caps w:val="0"/>
          <w:color w:val="auto"/>
          <w:spacing w:val="0"/>
          <w:sz w:val="32"/>
          <w:szCs w:val="32"/>
          <w:shd w:val="clear" w:fill="FFFFFF"/>
        </w:rPr>
        <w:t>项目编号：</w:t>
      </w:r>
      <w:r>
        <w:rPr>
          <w:rFonts w:hint="eastAsia" w:ascii="宋体" w:hAnsi="宋体" w:eastAsia="宋体" w:cs="宋体"/>
          <w:b/>
          <w:bCs/>
          <w:i w:val="0"/>
          <w:iCs w:val="0"/>
          <w:caps w:val="0"/>
          <w:color w:val="auto"/>
          <w:spacing w:val="0"/>
          <w:sz w:val="32"/>
          <w:szCs w:val="32"/>
          <w:shd w:val="clear" w:fill="FFFFFF"/>
        </w:rPr>
        <w:t>[350700]FJJX[GK]2022017</w:t>
      </w:r>
      <w:r>
        <w:rPr>
          <w:rFonts w:hint="eastAsia" w:ascii="宋体" w:hAnsi="宋体" w:eastAsia="宋体" w:cs="宋体"/>
          <w:b/>
          <w:bCs/>
          <w:i w:val="0"/>
          <w:iCs w:val="0"/>
          <w:caps w:val="0"/>
          <w:color w:val="auto"/>
          <w:spacing w:val="0"/>
          <w:sz w:val="32"/>
          <w:szCs w:val="32"/>
          <w:shd w:val="clear" w:fill="FFFFFF"/>
        </w:rPr>
        <w:br w:type="textWrapping"/>
      </w:r>
    </w:p>
    <w:p>
      <w:pPr>
        <w:pStyle w:val="10"/>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iCs w:val="0"/>
          <w:caps w:val="0"/>
          <w:color w:val="auto"/>
          <w:spacing w:val="0"/>
          <w:sz w:val="24"/>
          <w:szCs w:val="24"/>
        </w:rPr>
      </w:pPr>
      <w:r>
        <w:rPr>
          <w:rStyle w:val="14"/>
          <w:rFonts w:hint="eastAsia" w:ascii="宋体" w:hAnsi="宋体" w:eastAsia="宋体" w:cs="宋体"/>
          <w:b/>
          <w:bCs/>
          <w:i w:val="0"/>
          <w:iCs w:val="0"/>
          <w:caps w:val="0"/>
          <w:color w:val="auto"/>
          <w:spacing w:val="0"/>
          <w:sz w:val="24"/>
          <w:szCs w:val="24"/>
          <w:shd w:val="clear" w:fill="FFFFFF"/>
        </w:rPr>
        <w:t> </w:t>
      </w:r>
    </w:p>
    <w:p>
      <w:pPr>
        <w:pStyle w:val="10"/>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p>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 </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auto"/>
          <w:spacing w:val="0"/>
          <w:sz w:val="32"/>
          <w:szCs w:val="32"/>
        </w:rPr>
      </w:pPr>
      <w:r>
        <w:rPr>
          <w:rStyle w:val="14"/>
          <w:rFonts w:hint="eastAsia" w:ascii="宋体" w:hAnsi="宋体" w:eastAsia="宋体" w:cs="宋体"/>
          <w:b/>
          <w:bCs/>
          <w:i w:val="0"/>
          <w:iCs w:val="0"/>
          <w:caps w:val="0"/>
          <w:color w:val="auto"/>
          <w:spacing w:val="0"/>
          <w:sz w:val="32"/>
          <w:szCs w:val="32"/>
          <w:shd w:val="clear" w:fill="FFFFFF"/>
        </w:rPr>
        <w:t>采购人：</w:t>
      </w:r>
      <w:r>
        <w:rPr>
          <w:rFonts w:hint="eastAsia" w:ascii="宋体" w:hAnsi="宋体" w:eastAsia="宋体" w:cs="宋体"/>
          <w:b/>
          <w:bCs/>
          <w:i w:val="0"/>
          <w:iCs w:val="0"/>
          <w:caps w:val="0"/>
          <w:color w:val="auto"/>
          <w:spacing w:val="0"/>
          <w:sz w:val="32"/>
          <w:szCs w:val="32"/>
          <w:shd w:val="clear" w:fill="FFFFFF"/>
        </w:rPr>
        <w:t>武夷学院</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auto"/>
          <w:spacing w:val="0"/>
          <w:sz w:val="32"/>
          <w:szCs w:val="32"/>
        </w:rPr>
      </w:pPr>
      <w:r>
        <w:rPr>
          <w:rStyle w:val="14"/>
          <w:rFonts w:hint="eastAsia" w:ascii="宋体" w:hAnsi="宋体" w:eastAsia="宋体" w:cs="宋体"/>
          <w:b/>
          <w:bCs/>
          <w:i w:val="0"/>
          <w:iCs w:val="0"/>
          <w:caps w:val="0"/>
          <w:color w:val="auto"/>
          <w:spacing w:val="0"/>
          <w:sz w:val="32"/>
          <w:szCs w:val="32"/>
          <w:shd w:val="clear" w:fill="FFFFFF"/>
        </w:rPr>
        <w:t>代理机构：</w:t>
      </w:r>
      <w:r>
        <w:rPr>
          <w:rFonts w:hint="eastAsia" w:ascii="宋体" w:hAnsi="宋体" w:eastAsia="宋体" w:cs="宋体"/>
          <w:b/>
          <w:bCs/>
          <w:i w:val="0"/>
          <w:iCs w:val="0"/>
          <w:caps w:val="0"/>
          <w:color w:val="auto"/>
          <w:spacing w:val="0"/>
          <w:sz w:val="32"/>
          <w:szCs w:val="32"/>
          <w:shd w:val="clear" w:fill="FFFFFF"/>
        </w:rPr>
        <w:t>福建景鑫招标有限公司</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auto"/>
          <w:spacing w:val="0"/>
          <w:sz w:val="24"/>
          <w:szCs w:val="24"/>
        </w:rPr>
      </w:pPr>
      <w:r>
        <w:rPr>
          <w:rStyle w:val="14"/>
          <w:rFonts w:hint="eastAsia" w:ascii="宋体" w:hAnsi="宋体" w:eastAsia="宋体" w:cs="宋体"/>
          <w:b/>
          <w:bCs/>
          <w:i w:val="0"/>
          <w:iCs w:val="0"/>
          <w:caps w:val="0"/>
          <w:color w:val="auto"/>
          <w:spacing w:val="0"/>
          <w:sz w:val="32"/>
          <w:szCs w:val="32"/>
          <w:shd w:val="clear" w:fill="FFFFFF"/>
        </w:rPr>
        <w:t>2022年</w:t>
      </w:r>
      <w:r>
        <w:rPr>
          <w:rStyle w:val="14"/>
          <w:rFonts w:hint="eastAsia" w:ascii="宋体" w:hAnsi="宋体" w:eastAsia="宋体" w:cs="宋体"/>
          <w:b/>
          <w:bCs/>
          <w:i w:val="0"/>
          <w:iCs w:val="0"/>
          <w:caps w:val="0"/>
          <w:color w:val="auto"/>
          <w:spacing w:val="0"/>
          <w:sz w:val="32"/>
          <w:szCs w:val="32"/>
          <w:shd w:val="clear" w:fill="FFFFFF"/>
          <w:lang w:val="en-US" w:eastAsia="zh-CN"/>
        </w:rPr>
        <w:t>12</w:t>
      </w:r>
      <w:r>
        <w:rPr>
          <w:rStyle w:val="14"/>
          <w:rFonts w:hint="eastAsia" w:ascii="宋体" w:hAnsi="宋体" w:eastAsia="宋体" w:cs="宋体"/>
          <w:b/>
          <w:bCs/>
          <w:i w:val="0"/>
          <w:iCs w:val="0"/>
          <w:caps w:val="0"/>
          <w:color w:val="auto"/>
          <w:spacing w:val="0"/>
          <w:sz w:val="32"/>
          <w:szCs w:val="32"/>
          <w:shd w:val="clear" w:fill="FFFFFF"/>
        </w:rPr>
        <w:t>月</w:t>
      </w:r>
    </w:p>
    <w:p>
      <w:pPr>
        <w:pStyle w:val="10"/>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left"/>
        <w:textAlignment w:val="auto"/>
        <w:rPr>
          <w:rStyle w:val="14"/>
          <w:rFonts w:hint="eastAsia" w:ascii="宋体" w:hAnsi="宋体" w:eastAsia="宋体" w:cs="宋体"/>
          <w:b/>
          <w:bCs/>
          <w:color w:val="auto"/>
          <w:spacing w:val="0"/>
          <w:sz w:val="24"/>
          <w:szCs w:val="24"/>
        </w:rPr>
        <w:sectPr>
          <w:pgSz w:w="11906" w:h="16838"/>
          <w:pgMar w:top="1417" w:right="1134" w:bottom="1417" w:left="1134" w:header="851" w:footer="992" w:gutter="0"/>
          <w:cols w:space="425" w:num="1"/>
          <w:docGrid w:type="lines" w:linePitch="312" w:charSpace="0"/>
        </w:sect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sz w:val="32"/>
          <w:szCs w:val="32"/>
        </w:rPr>
      </w:pPr>
      <w:r>
        <w:rPr>
          <w:rStyle w:val="14"/>
          <w:rFonts w:hint="eastAsia" w:ascii="宋体" w:hAnsi="宋体" w:eastAsia="宋体" w:cs="宋体"/>
          <w:b/>
          <w:bCs/>
          <w:color w:val="auto"/>
          <w:spacing w:val="0"/>
          <w:sz w:val="32"/>
          <w:szCs w:val="32"/>
        </w:rPr>
        <w:t>第一章   投标邀请</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u w:val="single"/>
        </w:rPr>
        <w:t>福建景鑫招标有限公司</w:t>
      </w:r>
      <w:r>
        <w:rPr>
          <w:rFonts w:hint="eastAsia" w:ascii="宋体" w:hAnsi="宋体" w:eastAsia="宋体" w:cs="宋体"/>
          <w:color w:val="auto"/>
          <w:spacing w:val="0"/>
          <w:sz w:val="24"/>
          <w:szCs w:val="24"/>
        </w:rPr>
        <w:t>采用</w:t>
      </w:r>
      <w:r>
        <w:rPr>
          <w:rFonts w:hint="eastAsia" w:ascii="宋体" w:hAnsi="宋体" w:eastAsia="宋体" w:cs="宋体"/>
          <w:color w:val="auto"/>
          <w:spacing w:val="0"/>
          <w:sz w:val="24"/>
          <w:szCs w:val="24"/>
          <w:u w:val="single"/>
        </w:rPr>
        <w:t>公开招标方式</w:t>
      </w:r>
      <w:r>
        <w:rPr>
          <w:rFonts w:hint="eastAsia" w:ascii="宋体" w:hAnsi="宋体" w:eastAsia="宋体" w:cs="宋体"/>
          <w:color w:val="auto"/>
          <w:spacing w:val="0"/>
          <w:sz w:val="24"/>
          <w:szCs w:val="24"/>
        </w:rPr>
        <w:t>组织</w:t>
      </w:r>
      <w:r>
        <w:rPr>
          <w:rFonts w:hint="eastAsia" w:ascii="宋体" w:hAnsi="宋体" w:eastAsia="宋体" w:cs="宋体"/>
          <w:color w:val="auto"/>
          <w:spacing w:val="0"/>
          <w:sz w:val="24"/>
          <w:szCs w:val="24"/>
          <w:u w:val="none"/>
        </w:rPr>
        <w:t>武夷学院电力参数测量与电子实验设备更新采购项目</w:t>
      </w:r>
      <w:r>
        <w:rPr>
          <w:rFonts w:hint="eastAsia" w:ascii="宋体" w:hAnsi="宋体" w:eastAsia="宋体" w:cs="宋体"/>
          <w:color w:val="auto"/>
          <w:spacing w:val="0"/>
          <w:sz w:val="24"/>
          <w:szCs w:val="24"/>
        </w:rPr>
        <w:t>（以下简称：“本项目”）的政府采购活动，现邀请供应商参加投标。</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1、备案编号：H-WY-GK-202211-B0603-IDN。</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2、项目编号：[350700]FJJX[GK]2022017。</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479" w:leftChars="228"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3、预算金额、最高限价：详见《采购标的一览表》。</w:t>
      </w:r>
      <w:r>
        <w:rPr>
          <w:rFonts w:hint="eastAsia" w:ascii="宋体" w:hAnsi="宋体" w:eastAsia="宋体" w:cs="宋体"/>
          <w:color w:val="auto"/>
          <w:spacing w:val="0"/>
          <w:sz w:val="24"/>
          <w:szCs w:val="24"/>
        </w:rPr>
        <w:br w:type="textWrapping"/>
      </w:r>
      <w:r>
        <w:rPr>
          <w:rFonts w:hint="eastAsia" w:ascii="宋体" w:hAnsi="宋体" w:eastAsia="宋体" w:cs="宋体"/>
          <w:color w:val="auto"/>
          <w:spacing w:val="0"/>
          <w:sz w:val="24"/>
          <w:szCs w:val="24"/>
        </w:rPr>
        <w:t>4、招标内容及要求：详见《采购标的一览表》及招标文件第五章。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5、需要落实的政府采购政策：（1）小型、微型企业符合财政部、工信部文件（财库〔2020〕46号），适用于采购包1。（2）监狱企业，适用于采购包1。（3）促进残疾人就业 ，适用于采购包1。（4）信用记录，适用于采购包1，按照下列规定执行：1）投标人应在本项目招标公告发布日期之后投标截止时间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6、投标人的资格要求</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6.1法定条件：符合政府采购法第二十二条第一款规定的条件。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479" w:leftChars="228"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6.2特定条件：</w:t>
      </w:r>
      <w:r>
        <w:rPr>
          <w:rFonts w:hint="eastAsia" w:ascii="宋体" w:hAnsi="宋体" w:eastAsia="宋体" w:cs="宋体"/>
          <w:color w:val="auto"/>
          <w:spacing w:val="0"/>
          <w:sz w:val="24"/>
          <w:szCs w:val="24"/>
        </w:rPr>
        <w:br w:type="textWrapping"/>
      </w:r>
      <w:r>
        <w:rPr>
          <w:rStyle w:val="14"/>
          <w:rFonts w:hint="eastAsia" w:ascii="宋体" w:hAnsi="宋体" w:eastAsia="宋体" w:cs="宋体"/>
          <w:b/>
          <w:bCs/>
          <w:color w:val="auto"/>
          <w:spacing w:val="0"/>
          <w:sz w:val="24"/>
          <w:szCs w:val="24"/>
        </w:rPr>
        <w:t>包：1</w:t>
      </w:r>
    </w:p>
    <w:tbl>
      <w:tblPr>
        <w:tblStyle w:val="11"/>
        <w:tblW w:w="97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2214"/>
        <w:gridCol w:w="748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221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明细</w:t>
            </w:r>
          </w:p>
        </w:tc>
        <w:tc>
          <w:tcPr>
            <w:tcW w:w="748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jc w:val="center"/>
        </w:trPr>
        <w:tc>
          <w:tcPr>
            <w:tcW w:w="221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落实政府采购政策的证明材料（专门面向中小企业采购）</w:t>
            </w:r>
          </w:p>
        </w:tc>
        <w:tc>
          <w:tcPr>
            <w:tcW w:w="748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①本项目专门面向符合财政部、工信部文件（财库〔2020〕46号）规定的中、小、微企业。投标人须按照本招标文件规定的范本提供《中小企业声明函》。投标人应认真对照《工业和信息化部、国家统计局、国家发展和改革委员会、财政部关于印发中小企业划型标准规定的通知》（工信部联企业[2011]300号）规定的划分标准，并按照国统字[2017]213号《关于印发&lt;统计上大中小微型企业划分办法(2017)&gt;的通知》规定准确划分企业类型，若招标文件中的有关条款与本条款有矛盾之处以此处为准。②监狱企业视同小型、微型企业，投标人为监狱企业的，可不提供中小企业声明函，但须提供由省级以上监狱管理局、戒毒管理局（含新疆生产建设兵团）出具的属于监狱企业的证明文件。③残疾人福利性单位视同小型、微型企业，投标人为残疾人福利性单位的，可不提供中小企业声明函，但须提供的《残疾人福利性单位声明函》。注：享受扶持政策获得政府采购合同的，小微企业不得将合同分包给大中型企业，中型企业不得将合同分包给大型企业。注：本项目为</w:t>
            </w:r>
            <w:r>
              <w:rPr>
                <w:rFonts w:hint="eastAsia" w:ascii="宋体" w:hAnsi="宋体" w:eastAsia="宋体" w:cs="宋体"/>
                <w:color w:val="auto"/>
                <w:sz w:val="24"/>
                <w:szCs w:val="24"/>
                <w:highlight w:val="none"/>
                <w:lang w:eastAsia="zh-CN"/>
              </w:rPr>
              <w:t>货物</w:t>
            </w:r>
            <w:r>
              <w:rPr>
                <w:rFonts w:hint="eastAsia" w:ascii="宋体" w:hAnsi="宋体" w:eastAsia="宋体" w:cs="宋体"/>
                <w:color w:val="auto"/>
                <w:sz w:val="24"/>
                <w:szCs w:val="24"/>
                <w:highlight w:val="none"/>
              </w:rPr>
              <w:t>类采购项目，采购标的品目号1-1对应的中小企业划分标准所属行业为“</w:t>
            </w:r>
            <w:r>
              <w:rPr>
                <w:rFonts w:hint="eastAsia" w:ascii="宋体" w:hAnsi="宋体" w:eastAsia="宋体" w:cs="宋体"/>
                <w:color w:val="auto"/>
                <w:kern w:val="0"/>
                <w:sz w:val="24"/>
                <w:szCs w:val="24"/>
                <w:highlight w:val="none"/>
                <w:lang w:val="en-US" w:eastAsia="zh-CN" w:bidi="ar"/>
              </w:rPr>
              <w:t>工业</w:t>
            </w:r>
            <w:r>
              <w:rPr>
                <w:rFonts w:hint="eastAsia" w:ascii="宋体" w:hAnsi="宋体" w:eastAsia="宋体" w:cs="宋体"/>
                <w:color w:val="auto"/>
                <w:sz w:val="24"/>
                <w:szCs w:val="24"/>
                <w:highlight w:val="none"/>
              </w:rPr>
              <w:t>”。</w:t>
            </w:r>
          </w:p>
        </w:tc>
      </w:tr>
    </w:tbl>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6.3是否接受联合体投标：不接受。</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Style w:val="14"/>
          <w:rFonts w:hint="eastAsia" w:ascii="宋体" w:hAnsi="宋体" w:eastAsia="宋体" w:cs="宋体"/>
          <w:b/>
          <w:bCs/>
          <w:color w:val="auto"/>
          <w:spacing w:val="0"/>
          <w:sz w:val="24"/>
          <w:szCs w:val="24"/>
        </w:rPr>
        <w:t>※根据上述资格要求，电子投标文件中应提交的“投标人的资格及资信证明文件”详见招标文件第四章。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7、招标文件的获取</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7.1、招标文件获取期限：详见招标公告或更正公告，若不一致，以更正公告为准。</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w:t>
      </w:r>
      <w:r>
        <w:rPr>
          <w:rStyle w:val="14"/>
          <w:rFonts w:hint="eastAsia" w:ascii="宋体" w:hAnsi="宋体" w:eastAsia="宋体" w:cs="宋体"/>
          <w:b/>
          <w:bCs/>
          <w:color w:val="auto"/>
          <w:spacing w:val="0"/>
          <w:sz w:val="24"/>
          <w:szCs w:val="24"/>
        </w:rPr>
        <w:t>投标将被拒绝。</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7.3、获取地点及方式：注册账号后，通过福建省政府采购网上公开信息系统以下载方式获取。</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7.4、招标文件售价：0元。</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8、投标截止</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8.1、投标截止时间：详见招标公告或更正公告，若不一致，以更正公告为准。</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8.2、投标人应在投标截止时间前按照福建省政府采购网上公开信息系统设定的操作流程将电子投标文件上传至福建省政府采购网上公开信息系统，否则</w:t>
      </w:r>
      <w:r>
        <w:rPr>
          <w:rStyle w:val="14"/>
          <w:rFonts w:hint="eastAsia" w:ascii="宋体" w:hAnsi="宋体" w:eastAsia="宋体" w:cs="宋体"/>
          <w:b/>
          <w:bCs/>
          <w:color w:val="auto"/>
          <w:spacing w:val="0"/>
          <w:sz w:val="24"/>
          <w:szCs w:val="24"/>
        </w:rPr>
        <w:t>投标将被拒绝。</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9、开标时间及地点：详见招标公告或更正公告，若不一致，以更正公告为准。</w:t>
      </w:r>
      <w:r>
        <w:rPr>
          <w:rStyle w:val="14"/>
          <w:rFonts w:hint="eastAsia" w:ascii="宋体" w:hAnsi="宋体" w:eastAsia="宋体" w:cs="宋体"/>
          <w:b/>
          <w:bCs/>
          <w:color w:val="auto"/>
          <w:spacing w:val="0"/>
          <w:sz w:val="24"/>
          <w:szCs w:val="24"/>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10、公告期限</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10.1、招标公告的公告期限：自财政部和福建省财政厅指定的政府采购信息发布媒体最先发布公告之日起5个工作日。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10.2、招标文件公告期限：招标文件随同招标公告一并发布，其公告期限与招标公告的公告期限保持一致。</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11、采购人：武夷学院</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地址：福建省武夷山市武夷大道16号</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联系方法：陈老师 0599-5136100</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12、代理机构：福建景鑫招标有限公司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地址：福州市晋安区岳峰镇横屿路15号（连江北路与化工路交叉处）东二环泰禾城市广场(一期)6＃楼20层11-13办公</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联系方法：0599-8887365</w:t>
      </w:r>
    </w:p>
    <w:p>
      <w:pP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br w:type="page"/>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附1：账户信息</w:t>
      </w:r>
    </w:p>
    <w:tbl>
      <w:tblPr>
        <w:tblStyle w:val="11"/>
        <w:tblW w:w="963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86" w:hRule="atLeast"/>
        </w:trPr>
        <w:tc>
          <w:tcPr>
            <w:tcW w:w="9630"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Style w:val="14"/>
                <w:rFonts w:hint="eastAsia" w:ascii="宋体" w:hAnsi="宋体" w:eastAsia="宋体" w:cs="宋体"/>
                <w:b/>
                <w:bCs/>
                <w:color w:val="auto"/>
                <w:spacing w:val="0"/>
                <w:sz w:val="24"/>
                <w:szCs w:val="24"/>
              </w:rPr>
              <w:t>投标保证金账户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trPr>
        <w:tc>
          <w:tcPr>
            <w:tcW w:w="9630" w:type="dxa"/>
            <w:shd w:val="clear" w:color="auto" w:fill="auto"/>
            <w:tcMar>
              <w:top w:w="0" w:type="dxa"/>
              <w:left w:w="105" w:type="dxa"/>
              <w:bottom w:w="0" w:type="dxa"/>
              <w:right w:w="105" w:type="dxa"/>
            </w:tcMar>
            <w:vAlign w:val="top"/>
          </w:tcPr>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开户名称：</w:t>
            </w:r>
            <w:r>
              <w:rPr>
                <w:rFonts w:hint="eastAsia" w:ascii="宋体" w:hAnsi="宋体" w:eastAsia="宋体" w:cs="宋体"/>
                <w:color w:val="auto"/>
                <w:spacing w:val="0"/>
                <w:sz w:val="24"/>
                <w:szCs w:val="24"/>
                <w:u w:val="single"/>
                <w:shd w:val="clear" w:fill="FFFFFF"/>
              </w:rPr>
              <w:t>福建景鑫招标有限公司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2" w:hRule="atLeast"/>
        </w:trPr>
        <w:tc>
          <w:tcPr>
            <w:tcW w:w="9630" w:type="dxa"/>
            <w:shd w:val="clear" w:color="auto" w:fill="auto"/>
            <w:tcMar>
              <w:top w:w="0" w:type="dxa"/>
              <w:left w:w="105" w:type="dxa"/>
              <w:bottom w:w="0" w:type="dxa"/>
              <w:right w:w="105" w:type="dxa"/>
            </w:tcMar>
            <w:vAlign w:val="top"/>
          </w:tcPr>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开户银行：</w:t>
            </w:r>
            <w:r>
              <w:rPr>
                <w:rFonts w:hint="eastAsia" w:ascii="宋体" w:hAnsi="宋体" w:eastAsia="宋体" w:cs="宋体"/>
                <w:color w:val="auto"/>
                <w:spacing w:val="0"/>
                <w:sz w:val="24"/>
                <w:szCs w:val="24"/>
                <w:u w:val="none"/>
              </w:rPr>
              <w:t>供应商在福建省政府采购网上公开信息系统获取招标文件后，根据其提示自行选择要缴交的投标保证金托管银行</w:t>
            </w:r>
            <w:r>
              <w:rPr>
                <w:rFonts w:hint="eastAsia" w:ascii="宋体" w:hAnsi="宋体" w:eastAsia="宋体" w:cs="宋体"/>
                <w:color w:val="auto"/>
                <w:spacing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137" w:hRule="atLeast"/>
        </w:trPr>
        <w:tc>
          <w:tcPr>
            <w:tcW w:w="9630" w:type="dxa"/>
            <w:shd w:val="clear" w:color="auto" w:fill="auto"/>
            <w:tcMar>
              <w:top w:w="0" w:type="dxa"/>
              <w:left w:w="105" w:type="dxa"/>
              <w:bottom w:w="0" w:type="dxa"/>
              <w:right w:w="105" w:type="dxa"/>
            </w:tcMar>
            <w:vAlign w:val="top"/>
          </w:tcPr>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银行账号：</w:t>
            </w:r>
            <w:r>
              <w:rPr>
                <w:rFonts w:hint="eastAsia" w:ascii="宋体" w:hAnsi="宋体" w:eastAsia="宋体" w:cs="宋体"/>
                <w:color w:val="auto"/>
                <w:spacing w:val="0"/>
                <w:sz w:val="24"/>
                <w:szCs w:val="24"/>
                <w:u w:val="none"/>
              </w:rPr>
              <w:t>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86" w:hRule="atLeast"/>
        </w:trPr>
        <w:tc>
          <w:tcPr>
            <w:tcW w:w="9630"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Style w:val="14"/>
                <w:rFonts w:hint="eastAsia" w:ascii="宋体" w:hAnsi="宋体" w:eastAsia="宋体" w:cs="宋体"/>
                <w:b/>
                <w:bCs/>
                <w:color w:val="auto"/>
                <w:spacing w:val="0"/>
                <w:sz w:val="24"/>
                <w:szCs w:val="24"/>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147" w:hRule="atLeast"/>
        </w:trPr>
        <w:tc>
          <w:tcPr>
            <w:tcW w:w="9630" w:type="dxa"/>
            <w:shd w:val="clear" w:color="auto" w:fill="auto"/>
            <w:tcMar>
              <w:top w:w="0" w:type="dxa"/>
              <w:left w:w="105" w:type="dxa"/>
              <w:bottom w:w="0" w:type="dxa"/>
              <w:right w:w="105" w:type="dxa"/>
            </w:tcMar>
            <w:vAlign w:val="top"/>
          </w:tcPr>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1、投标人应认真核对账户信息，将投标保证金汇入以上账户，并自行承担因汇错投标保证金而产生的一切后果。</w:t>
            </w: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2、投标人在转账或电汇的凭证上应按照以下格式注明，以便核对：“（项目编号：***）的投标保证金”。</w:t>
            </w:r>
          </w:p>
        </w:tc>
      </w:tr>
    </w:tbl>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pacing w:val="0"/>
          <w:sz w:val="24"/>
          <w:szCs w:val="24"/>
        </w:rPr>
      </w:pP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pacing w:val="0"/>
          <w:sz w:val="24"/>
          <w:szCs w:val="24"/>
        </w:rPr>
      </w:pP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附2：采购标的一览表 </w:t>
      </w: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金额单位：人民币元</w:t>
      </w:r>
    </w:p>
    <w:tbl>
      <w:tblPr>
        <w:tblStyle w:val="11"/>
        <w:tblW w:w="98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48"/>
        <w:gridCol w:w="456"/>
        <w:gridCol w:w="1998"/>
        <w:gridCol w:w="705"/>
        <w:gridCol w:w="837"/>
        <w:gridCol w:w="1202"/>
        <w:gridCol w:w="1324"/>
        <w:gridCol w:w="977"/>
        <w:gridCol w:w="1028"/>
        <w:gridCol w:w="8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44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采购包</w:t>
            </w:r>
          </w:p>
        </w:tc>
        <w:tc>
          <w:tcPr>
            <w:tcW w:w="45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品目号</w:t>
            </w:r>
          </w:p>
        </w:tc>
        <w:tc>
          <w:tcPr>
            <w:tcW w:w="19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采购标的</w:t>
            </w:r>
          </w:p>
        </w:tc>
        <w:tc>
          <w:tcPr>
            <w:tcW w:w="70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允许</w:t>
            </w:r>
          </w:p>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进口</w:t>
            </w:r>
          </w:p>
        </w:tc>
        <w:tc>
          <w:tcPr>
            <w:tcW w:w="83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数量</w:t>
            </w:r>
          </w:p>
        </w:tc>
        <w:tc>
          <w:tcPr>
            <w:tcW w:w="120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品目号</w:t>
            </w:r>
          </w:p>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预算</w:t>
            </w:r>
          </w:p>
        </w:tc>
        <w:tc>
          <w:tcPr>
            <w:tcW w:w="13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中小企业划分标准所属行业</w:t>
            </w:r>
          </w:p>
        </w:tc>
        <w:tc>
          <w:tcPr>
            <w:tcW w:w="9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采购包预算</w:t>
            </w:r>
          </w:p>
        </w:tc>
        <w:tc>
          <w:tcPr>
            <w:tcW w:w="102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采购包最高限价</w:t>
            </w:r>
          </w:p>
        </w:tc>
        <w:tc>
          <w:tcPr>
            <w:tcW w:w="8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投标保证金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44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center"/>
              <w:textAlignment w:val="auto"/>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w:t>
            </w:r>
          </w:p>
        </w:tc>
        <w:tc>
          <w:tcPr>
            <w:tcW w:w="45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1-1</w:t>
            </w:r>
          </w:p>
        </w:tc>
        <w:tc>
          <w:tcPr>
            <w:tcW w:w="19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电力参数测量与电子实验设备更新</w:t>
            </w:r>
          </w:p>
        </w:tc>
        <w:tc>
          <w:tcPr>
            <w:tcW w:w="70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否</w:t>
            </w:r>
          </w:p>
        </w:tc>
        <w:tc>
          <w:tcPr>
            <w:tcW w:w="83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1（批）</w:t>
            </w:r>
          </w:p>
        </w:tc>
        <w:tc>
          <w:tcPr>
            <w:tcW w:w="120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6667000</w:t>
            </w:r>
          </w:p>
        </w:tc>
        <w:tc>
          <w:tcPr>
            <w:tcW w:w="13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highlight w:val="none"/>
                <w:lang w:val="en-US" w:eastAsia="zh-CN" w:bidi="ar"/>
              </w:rPr>
              <w:t>工业</w:t>
            </w:r>
          </w:p>
        </w:tc>
        <w:tc>
          <w:tcPr>
            <w:tcW w:w="9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6667000</w:t>
            </w:r>
          </w:p>
        </w:tc>
        <w:tc>
          <w:tcPr>
            <w:tcW w:w="102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6667000</w:t>
            </w:r>
          </w:p>
        </w:tc>
        <w:tc>
          <w:tcPr>
            <w:tcW w:w="8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center"/>
              <w:textAlignment w:val="auto"/>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66670</w:t>
            </w:r>
          </w:p>
        </w:tc>
      </w:tr>
    </w:tbl>
    <w:p>
      <w:pPr>
        <w:rPr>
          <w:rStyle w:val="14"/>
          <w:rFonts w:hint="eastAsia" w:ascii="宋体" w:hAnsi="宋体" w:eastAsia="宋体" w:cs="宋体"/>
          <w:b/>
          <w:bCs/>
          <w:color w:val="auto"/>
          <w:spacing w:val="0"/>
          <w:sz w:val="24"/>
          <w:szCs w:val="24"/>
        </w:rPr>
      </w:pPr>
      <w:r>
        <w:rPr>
          <w:rStyle w:val="14"/>
          <w:rFonts w:hint="eastAsia" w:ascii="宋体" w:hAnsi="宋体" w:eastAsia="宋体" w:cs="宋体"/>
          <w:b/>
          <w:bCs/>
          <w:color w:val="auto"/>
          <w:spacing w:val="0"/>
          <w:sz w:val="24"/>
          <w:szCs w:val="24"/>
        </w:rPr>
        <w:br w:type="page"/>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sz w:val="32"/>
          <w:szCs w:val="32"/>
        </w:rPr>
      </w:pPr>
      <w:r>
        <w:rPr>
          <w:rStyle w:val="14"/>
          <w:rFonts w:hint="eastAsia" w:ascii="宋体" w:hAnsi="宋体" w:eastAsia="宋体" w:cs="宋体"/>
          <w:b/>
          <w:bCs/>
          <w:color w:val="auto"/>
          <w:spacing w:val="0"/>
          <w:sz w:val="32"/>
          <w:szCs w:val="32"/>
        </w:rPr>
        <w:t>第二章   投标人须知前附表（表1、2）</w:t>
      </w: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auto"/>
          <w:sz w:val="24"/>
          <w:szCs w:val="24"/>
        </w:rPr>
      </w:pPr>
      <w:r>
        <w:rPr>
          <w:rStyle w:val="14"/>
          <w:rFonts w:hint="eastAsia" w:ascii="宋体" w:hAnsi="宋体" w:eastAsia="宋体" w:cs="宋体"/>
          <w:b/>
          <w:bCs/>
          <w:color w:val="auto"/>
          <w:sz w:val="24"/>
          <w:szCs w:val="24"/>
        </w:rPr>
        <w:t>一、投标人须知前附表1</w:t>
      </w:r>
    </w:p>
    <w:tbl>
      <w:tblPr>
        <w:tblStyle w:val="11"/>
        <w:tblW w:w="9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659"/>
        <w:gridCol w:w="1410"/>
        <w:gridCol w:w="7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9731" w:type="dxa"/>
            <w:gridSpan w:val="3"/>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auto"/>
                <w:sz w:val="24"/>
                <w:szCs w:val="24"/>
              </w:rPr>
            </w:pPr>
            <w:r>
              <w:rPr>
                <w:rStyle w:val="14"/>
                <w:rFonts w:hint="eastAsia" w:ascii="宋体" w:hAnsi="宋体" w:eastAsia="宋体" w:cs="宋体"/>
                <w:b/>
                <w:bCs/>
                <w:color w:val="auto"/>
                <w:spacing w:val="0"/>
                <w:sz w:val="24"/>
                <w:szCs w:val="24"/>
              </w:rPr>
              <w:t>特别提示：本表与招标文件对应章节的内容若不一致，以本表为准。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659"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项号</w:t>
            </w:r>
          </w:p>
        </w:tc>
        <w:tc>
          <w:tcPr>
            <w:tcW w:w="1410"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招标文件</w:t>
            </w: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（第三章）</w:t>
            </w:r>
          </w:p>
        </w:tc>
        <w:tc>
          <w:tcPr>
            <w:tcW w:w="7662"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659"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w:t>
            </w:r>
          </w:p>
        </w:tc>
        <w:tc>
          <w:tcPr>
            <w:tcW w:w="1410"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6.1</w:t>
            </w:r>
          </w:p>
        </w:tc>
        <w:tc>
          <w:tcPr>
            <w:tcW w:w="7662"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Style w:val="14"/>
                <w:rFonts w:hint="eastAsia" w:ascii="宋体" w:hAnsi="宋体" w:eastAsia="宋体" w:cs="宋体"/>
                <w:b/>
                <w:bCs/>
                <w:color w:val="auto"/>
                <w:spacing w:val="0"/>
                <w:sz w:val="24"/>
                <w:szCs w:val="24"/>
              </w:rPr>
              <w:t>是否组织现场考察或召开开标前答疑会：</w:t>
            </w:r>
            <w:r>
              <w:rPr>
                <w:rFonts w:hint="eastAsia" w:ascii="宋体" w:hAnsi="宋体" w:eastAsia="宋体" w:cs="宋体"/>
                <w:color w:val="auto"/>
                <w:spacing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659"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2</w:t>
            </w:r>
          </w:p>
        </w:tc>
        <w:tc>
          <w:tcPr>
            <w:tcW w:w="1410"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10.4</w:t>
            </w:r>
          </w:p>
        </w:tc>
        <w:tc>
          <w:tcPr>
            <w:tcW w:w="7662"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Style w:val="14"/>
                <w:rFonts w:hint="eastAsia" w:ascii="宋体" w:hAnsi="宋体" w:eastAsia="宋体" w:cs="宋体"/>
                <w:b/>
                <w:bCs/>
                <w:color w:val="auto"/>
                <w:spacing w:val="0"/>
                <w:sz w:val="24"/>
                <w:szCs w:val="24"/>
              </w:rPr>
              <w:t>投标文件的份数：</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（1）可读介质（光盘或U盘）</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份：投标人应将其上传至福建省政府采购网上公开信息系统的电子投标文件在该可读介质中另存</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份。</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（2）电子投标文件：详见投标人须知前附表2《关于电子招标投标活动的专门规定》。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659"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w:t>
            </w:r>
          </w:p>
        </w:tc>
        <w:tc>
          <w:tcPr>
            <w:tcW w:w="1410"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10.7-（1）</w:t>
            </w:r>
          </w:p>
        </w:tc>
        <w:tc>
          <w:tcPr>
            <w:tcW w:w="7662"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Style w:val="14"/>
                <w:rFonts w:hint="eastAsia" w:ascii="宋体" w:hAnsi="宋体" w:eastAsia="宋体" w:cs="宋体"/>
                <w:b/>
                <w:bCs/>
                <w:color w:val="auto"/>
                <w:spacing w:val="0"/>
                <w:sz w:val="24"/>
                <w:szCs w:val="24"/>
              </w:rPr>
              <w:t>是否允许中标人将本项目的非主体、非关键性工作进行分包：</w:t>
            </w: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659"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4</w:t>
            </w:r>
          </w:p>
        </w:tc>
        <w:tc>
          <w:tcPr>
            <w:tcW w:w="1410"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10.8-（1）</w:t>
            </w:r>
          </w:p>
        </w:tc>
        <w:tc>
          <w:tcPr>
            <w:tcW w:w="7662"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Style w:val="14"/>
                <w:rFonts w:hint="eastAsia" w:ascii="宋体" w:hAnsi="宋体" w:eastAsia="宋体" w:cs="宋体"/>
                <w:b/>
                <w:bCs/>
                <w:color w:val="auto"/>
                <w:spacing w:val="0"/>
                <w:sz w:val="24"/>
                <w:szCs w:val="24"/>
              </w:rPr>
              <w:t>投标有效期</w:t>
            </w:r>
            <w:r>
              <w:rPr>
                <w:rFonts w:hint="eastAsia" w:ascii="宋体" w:hAnsi="宋体" w:eastAsia="宋体" w:cs="宋体"/>
                <w:color w:val="auto"/>
                <w:spacing w:val="0"/>
                <w:sz w:val="24"/>
                <w:szCs w:val="24"/>
              </w:rPr>
              <w:t>：投标截止时间起90个日历日。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659"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5</w:t>
            </w:r>
          </w:p>
        </w:tc>
        <w:tc>
          <w:tcPr>
            <w:tcW w:w="1410"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12.1</w:t>
            </w:r>
          </w:p>
        </w:tc>
        <w:tc>
          <w:tcPr>
            <w:tcW w:w="7662"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本项目推荐项目包1中标候选人数为1家。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659" w:type="dxa"/>
            <w:shd w:val="clear" w:color="auto" w:fill="auto"/>
            <w:tcMar>
              <w:top w:w="75" w:type="dxa"/>
              <w:left w:w="150" w:type="dxa"/>
              <w:bottom w:w="75" w:type="dxa"/>
              <w:right w:w="150" w:type="dxa"/>
            </w:tcMar>
            <w:vAlign w:val="center"/>
          </w:tcPr>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6</w:t>
            </w:r>
          </w:p>
        </w:tc>
        <w:tc>
          <w:tcPr>
            <w:tcW w:w="1410" w:type="dxa"/>
            <w:shd w:val="clear" w:color="auto" w:fill="auto"/>
            <w:tcMar>
              <w:top w:w="75" w:type="dxa"/>
              <w:left w:w="150" w:type="dxa"/>
              <w:bottom w:w="75" w:type="dxa"/>
              <w:right w:w="150" w:type="dxa"/>
            </w:tcMar>
            <w:vAlign w:val="center"/>
          </w:tcPr>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12.2</w:t>
            </w:r>
          </w:p>
        </w:tc>
        <w:tc>
          <w:tcPr>
            <w:tcW w:w="7662" w:type="dxa"/>
            <w:shd w:val="clear" w:color="auto" w:fill="auto"/>
            <w:tcMar>
              <w:top w:w="75" w:type="dxa"/>
              <w:left w:w="150" w:type="dxa"/>
              <w:bottom w:w="75" w:type="dxa"/>
              <w:right w:w="150" w:type="dxa"/>
            </w:tcMar>
            <w:vAlign w:val="center"/>
          </w:tcPr>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Style w:val="14"/>
                <w:rFonts w:hint="eastAsia" w:ascii="宋体" w:hAnsi="宋体" w:eastAsia="宋体" w:cs="宋体"/>
                <w:b/>
                <w:bCs/>
                <w:color w:val="auto"/>
                <w:spacing w:val="0"/>
                <w:sz w:val="24"/>
                <w:szCs w:val="24"/>
              </w:rPr>
              <w:t>本项目中标人的确定（以采购包为单位）：</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（1）采购人应在政府采购招投标管理办法规定的时限内确定中标人。</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（2）若出现中标候选人并列情形，则按照下列方式确定中标人：</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①招标文件规定的方式：如投标人最低报价相同时，以随机抽取的方法确定中标人。</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②若本款第①点规定方式为“无”，则按照下列方式确定：无。</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③若本款第①、②点规定方式均为“无”，则按照下列方式确定：随机抽取。</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（3）本项目确定的中标人家数：本项目确定项目包1中标人数为1家；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659" w:type="dxa"/>
            <w:shd w:val="clear" w:color="auto" w:fill="auto"/>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7</w:t>
            </w:r>
          </w:p>
        </w:tc>
        <w:tc>
          <w:tcPr>
            <w:tcW w:w="1410" w:type="dxa"/>
            <w:shd w:val="clear" w:color="auto" w:fill="auto"/>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0"/>
                <w:kern w:val="0"/>
                <w:sz w:val="24"/>
                <w:szCs w:val="24"/>
                <w:lang w:val="en-US" w:eastAsia="zh-CN" w:bidi="ar"/>
              </w:rPr>
              <w:t>13.2</w:t>
            </w:r>
          </w:p>
        </w:tc>
        <w:tc>
          <w:tcPr>
            <w:tcW w:w="7662" w:type="dxa"/>
            <w:shd w:val="clear" w:color="auto" w:fill="auto"/>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color w:val="auto"/>
                <w:sz w:val="24"/>
                <w:szCs w:val="24"/>
              </w:rPr>
            </w:pPr>
            <w:r>
              <w:rPr>
                <w:rStyle w:val="14"/>
                <w:rFonts w:hint="eastAsia" w:ascii="宋体" w:hAnsi="宋体" w:eastAsia="宋体" w:cs="宋体"/>
                <w:b/>
                <w:bCs/>
                <w:color w:val="auto"/>
                <w:spacing w:val="0"/>
                <w:kern w:val="0"/>
                <w:sz w:val="24"/>
                <w:szCs w:val="24"/>
                <w:lang w:val="en-US" w:eastAsia="zh-CN" w:bidi="ar"/>
              </w:rPr>
              <w:t>合同签订时限：</w:t>
            </w:r>
            <w:r>
              <w:rPr>
                <w:rFonts w:hint="eastAsia" w:ascii="宋体" w:hAnsi="宋体" w:eastAsia="宋体" w:cs="宋体"/>
                <w:color w:val="auto"/>
                <w:kern w:val="0"/>
                <w:sz w:val="24"/>
                <w:szCs w:val="24"/>
                <w:lang w:val="en-US" w:eastAsia="zh-CN" w:bidi="ar"/>
              </w:rPr>
              <w:t>自中标通知书发出之日起30个日历日内。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659"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410"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15.1-（2）</w:t>
            </w:r>
          </w:p>
        </w:tc>
        <w:tc>
          <w:tcPr>
            <w:tcW w:w="7662"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Style w:val="14"/>
                <w:rFonts w:hint="eastAsia" w:ascii="宋体" w:hAnsi="宋体" w:eastAsia="宋体" w:cs="宋体"/>
                <w:b/>
                <w:bCs/>
                <w:color w:val="auto"/>
                <w:spacing w:val="0"/>
                <w:sz w:val="24"/>
                <w:szCs w:val="24"/>
              </w:rPr>
              <w:t>质疑函原件应采用下列方式提交：</w:t>
            </w:r>
            <w:r>
              <w:rPr>
                <w:rFonts w:hint="eastAsia" w:ascii="宋体" w:hAnsi="宋体" w:eastAsia="宋体" w:cs="宋体"/>
                <w:color w:val="auto"/>
                <w:spacing w:val="0"/>
                <w:sz w:val="24"/>
                <w:szCs w:val="24"/>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659"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410"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auto"/>
                <w:sz w:val="24"/>
                <w:szCs w:val="24"/>
              </w:rPr>
            </w:pP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15.4</w:t>
            </w: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auto"/>
                <w:sz w:val="24"/>
                <w:szCs w:val="24"/>
              </w:rPr>
            </w:pPr>
          </w:p>
        </w:tc>
        <w:tc>
          <w:tcPr>
            <w:tcW w:w="7662"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Style w:val="14"/>
                <w:rFonts w:hint="eastAsia" w:ascii="宋体" w:hAnsi="宋体" w:eastAsia="宋体" w:cs="宋体"/>
                <w:b/>
                <w:bCs/>
                <w:color w:val="auto"/>
                <w:spacing w:val="0"/>
                <w:sz w:val="24"/>
                <w:szCs w:val="24"/>
              </w:rPr>
              <w:t>招标文件的质疑</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（1）潜在投标人可在质疑时效期间内对招标文件以书面形式提出质疑。</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（2）质疑时效期间：应在依法获取招标文件之日起7个工作日内向福建景鑫招标有限公司提出，依法获取招标文件的时间以福建省政府采购网上公开信息系统记载的为准。</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Style w:val="14"/>
                <w:rFonts w:hint="eastAsia" w:ascii="宋体" w:hAnsi="宋体" w:eastAsia="宋体" w:cs="宋体"/>
                <w:b/>
                <w:bCs/>
                <w:color w:val="auto"/>
                <w:spacing w:val="0"/>
                <w:sz w:val="24"/>
                <w:szCs w:val="24"/>
              </w:rPr>
              <w:t>※除上述规定外，对招标文件提出的质疑还应符合招标文件第三章第15.1条的有关规定。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659"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10</w:t>
            </w:r>
          </w:p>
        </w:tc>
        <w:tc>
          <w:tcPr>
            <w:tcW w:w="1410"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16.1</w:t>
            </w:r>
          </w:p>
        </w:tc>
        <w:tc>
          <w:tcPr>
            <w:tcW w:w="7662"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Style w:val="14"/>
                <w:rFonts w:hint="eastAsia" w:ascii="宋体" w:hAnsi="宋体" w:eastAsia="宋体" w:cs="宋体"/>
                <w:b/>
                <w:bCs/>
                <w:color w:val="auto"/>
                <w:spacing w:val="0"/>
                <w:sz w:val="24"/>
                <w:szCs w:val="24"/>
              </w:rPr>
              <w:t>监督管理部门：</w:t>
            </w:r>
            <w:r>
              <w:rPr>
                <w:rFonts w:hint="eastAsia" w:ascii="宋体" w:hAnsi="宋体" w:eastAsia="宋体" w:cs="宋体"/>
                <w:color w:val="auto"/>
                <w:spacing w:val="0"/>
                <w:sz w:val="24"/>
                <w:szCs w:val="24"/>
                <w:lang w:eastAsia="zh-CN"/>
              </w:rPr>
              <w:t>南平市财政局</w:t>
            </w:r>
            <w:r>
              <w:rPr>
                <w:rStyle w:val="14"/>
                <w:rFonts w:hint="eastAsia" w:ascii="宋体" w:hAnsi="宋体" w:eastAsia="宋体" w:cs="宋体"/>
                <w:b/>
                <w:bCs/>
                <w:color w:val="auto"/>
                <w:spacing w:val="0"/>
                <w:sz w:val="24"/>
                <w:szCs w:val="24"/>
                <w:u w:val="none"/>
              </w:rPr>
              <w:t>（仅限依法进行政府采购的货物或服务类项目）</w:t>
            </w:r>
            <w:r>
              <w:rPr>
                <w:rFonts w:hint="eastAsia" w:ascii="宋体" w:hAnsi="宋体" w:eastAsia="宋体" w:cs="宋体"/>
                <w:color w:val="auto"/>
                <w:spacing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659"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11</w:t>
            </w:r>
          </w:p>
        </w:tc>
        <w:tc>
          <w:tcPr>
            <w:tcW w:w="1410"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18.1</w:t>
            </w:r>
          </w:p>
        </w:tc>
        <w:tc>
          <w:tcPr>
            <w:tcW w:w="7662"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Style w:val="14"/>
                <w:rFonts w:hint="eastAsia" w:ascii="宋体" w:hAnsi="宋体" w:eastAsia="宋体" w:cs="宋体"/>
                <w:b/>
                <w:bCs/>
                <w:color w:val="auto"/>
                <w:spacing w:val="0"/>
                <w:sz w:val="24"/>
                <w:szCs w:val="24"/>
              </w:rPr>
              <w:t>财政部和福建省财政厅指定的政府采购信息发布媒体（以下简称：“指定媒体”）：</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（1）中国政府采购网，网址www.ccgp.gov.cn</w:t>
            </w:r>
            <w:r>
              <w:rPr>
                <w:rFonts w:hint="eastAsia" w:ascii="宋体" w:hAnsi="宋体" w:eastAsia="宋体" w:cs="宋体"/>
                <w:color w:val="auto"/>
                <w:sz w:val="24"/>
                <w:szCs w:val="24"/>
              </w:rPr>
              <w:t>。</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（2）中国政府采购网福建分网（福建省政府采购网），网址zfcg.czt.fujian.gov.cn</w:t>
            </w:r>
            <w:r>
              <w:rPr>
                <w:rFonts w:hint="eastAsia" w:ascii="宋体" w:hAnsi="宋体" w:eastAsia="宋体" w:cs="宋体"/>
                <w:color w:val="auto"/>
                <w:sz w:val="24"/>
                <w:szCs w:val="24"/>
              </w:rPr>
              <w:t>。</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Style w:val="14"/>
                <w:rFonts w:hint="eastAsia" w:ascii="宋体" w:hAnsi="宋体" w:eastAsia="宋体" w:cs="宋体"/>
                <w:b/>
                <w:bCs/>
                <w:color w:val="auto"/>
                <w:spacing w:val="0"/>
                <w:sz w:val="24"/>
                <w:szCs w:val="24"/>
              </w:rPr>
              <w:t>※若出现上述指定媒体信息不一致情形，应以中国政府采购网福建分网（福建省政府采购网）发布的为准。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659"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12</w:t>
            </w:r>
          </w:p>
        </w:tc>
        <w:tc>
          <w:tcPr>
            <w:tcW w:w="1410"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19</w:t>
            </w:r>
          </w:p>
        </w:tc>
        <w:tc>
          <w:tcPr>
            <w:tcW w:w="7662"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Style w:val="14"/>
                <w:rFonts w:hint="eastAsia" w:ascii="宋体" w:hAnsi="宋体" w:eastAsia="宋体" w:cs="宋体"/>
                <w:b/>
                <w:bCs/>
                <w:color w:val="auto"/>
                <w:spacing w:val="0"/>
                <w:sz w:val="24"/>
                <w:szCs w:val="24"/>
              </w:rPr>
              <w:t>其他事项：</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Style w:val="14"/>
                <w:rFonts w:hint="eastAsia" w:ascii="宋体" w:hAnsi="宋体" w:eastAsia="宋体" w:cs="宋体"/>
                <w:b/>
                <w:bCs/>
                <w:color w:val="auto"/>
                <w:spacing w:val="0"/>
                <w:sz w:val="24"/>
                <w:szCs w:val="24"/>
              </w:rPr>
              <w:t>(1)本项目代理服务费由</w:t>
            </w:r>
            <w:r>
              <w:rPr>
                <w:rFonts w:hint="eastAsia" w:ascii="宋体" w:hAnsi="宋体" w:eastAsia="宋体" w:cs="宋体"/>
                <w:b/>
                <w:bCs/>
                <w:color w:val="auto"/>
                <w:spacing w:val="0"/>
                <w:sz w:val="24"/>
                <w:szCs w:val="24"/>
              </w:rPr>
              <w:t>中标人</w:t>
            </w:r>
            <w:r>
              <w:rPr>
                <w:rStyle w:val="14"/>
                <w:rFonts w:hint="eastAsia" w:ascii="宋体" w:hAnsi="宋体" w:eastAsia="宋体" w:cs="宋体"/>
                <w:b/>
                <w:bCs/>
                <w:color w:val="auto"/>
                <w:spacing w:val="0"/>
                <w:sz w:val="24"/>
                <w:szCs w:val="24"/>
              </w:rPr>
              <w:t>支付。</w:t>
            </w:r>
            <w:r>
              <w:rPr>
                <w:rStyle w:val="14"/>
                <w:rFonts w:hint="eastAsia" w:ascii="宋体" w:hAnsi="宋体" w:eastAsia="宋体" w:cs="宋体"/>
                <w:b/>
                <w:bCs/>
                <w:color w:val="auto"/>
                <w:spacing w:val="0"/>
                <w:sz w:val="24"/>
                <w:szCs w:val="24"/>
              </w:rPr>
              <w:br w:type="textWrapping"/>
            </w:r>
            <w:r>
              <w:rPr>
                <w:rStyle w:val="14"/>
                <w:rFonts w:hint="eastAsia" w:ascii="宋体" w:hAnsi="宋体" w:eastAsia="宋体" w:cs="宋体"/>
                <w:b/>
                <w:bCs/>
                <w:color w:val="auto"/>
                <w:spacing w:val="0"/>
                <w:sz w:val="24"/>
                <w:szCs w:val="24"/>
              </w:rPr>
              <w:t>(2)其他：</w:t>
            </w:r>
            <w:r>
              <w:rPr>
                <w:rFonts w:hint="eastAsia" w:ascii="宋体" w:hAnsi="宋体" w:eastAsia="宋体" w:cs="宋体"/>
                <w:b/>
                <w:bCs/>
                <w:color w:val="auto"/>
                <w:spacing w:val="0"/>
                <w:sz w:val="24"/>
                <w:szCs w:val="24"/>
              </w:rPr>
              <w:t>①</w:t>
            </w:r>
            <w:r>
              <w:rPr>
                <w:rFonts w:hint="eastAsia" w:asciiTheme="minorEastAsia" w:hAnsiTheme="minorEastAsia" w:eastAsiaTheme="minorEastAsia" w:cstheme="minorEastAsia"/>
                <w:b/>
                <w:bCs/>
                <w:color w:val="auto"/>
                <w:spacing w:val="0"/>
                <w:sz w:val="24"/>
                <w:szCs w:val="24"/>
              </w:rPr>
              <w:t>以中标通知书载明的中标金额作为收费的计算基数，按差额定率累进法计算收取，100万元（含）以下费率1.5%；100万元以上-500万元费率1.1%；</w:t>
            </w:r>
            <w:r>
              <w:rPr>
                <w:rFonts w:hint="eastAsia" w:asciiTheme="minorEastAsia" w:hAnsiTheme="minorEastAsia" w:cstheme="minorEastAsia"/>
                <w:b/>
                <w:bCs/>
                <w:color w:val="auto"/>
                <w:spacing w:val="0"/>
                <w:sz w:val="24"/>
                <w:szCs w:val="24"/>
                <w:lang w:val="en-US" w:eastAsia="zh-CN"/>
              </w:rPr>
              <w:t>5</w:t>
            </w:r>
            <w:r>
              <w:rPr>
                <w:rFonts w:hint="eastAsia" w:asciiTheme="minorEastAsia" w:hAnsiTheme="minorEastAsia" w:eastAsiaTheme="minorEastAsia" w:cstheme="minorEastAsia"/>
                <w:b/>
                <w:bCs/>
                <w:color w:val="auto"/>
                <w:spacing w:val="0"/>
                <w:sz w:val="24"/>
                <w:szCs w:val="24"/>
              </w:rPr>
              <w:t>00万元以上-</w:t>
            </w:r>
            <w:r>
              <w:rPr>
                <w:rFonts w:hint="eastAsia" w:asciiTheme="minorEastAsia" w:hAnsiTheme="minorEastAsia" w:cstheme="minorEastAsia"/>
                <w:b/>
                <w:bCs/>
                <w:color w:val="auto"/>
                <w:spacing w:val="0"/>
                <w:sz w:val="24"/>
                <w:szCs w:val="24"/>
                <w:lang w:val="en-US" w:eastAsia="zh-CN"/>
              </w:rPr>
              <w:t>10</w:t>
            </w:r>
            <w:r>
              <w:rPr>
                <w:rFonts w:hint="eastAsia" w:asciiTheme="minorEastAsia" w:hAnsiTheme="minorEastAsia" w:eastAsiaTheme="minorEastAsia" w:cstheme="minorEastAsia"/>
                <w:b/>
                <w:bCs/>
                <w:color w:val="auto"/>
                <w:spacing w:val="0"/>
                <w:sz w:val="24"/>
                <w:szCs w:val="24"/>
              </w:rPr>
              <w:t>00万元费率</w:t>
            </w:r>
            <w:r>
              <w:rPr>
                <w:rFonts w:hint="eastAsia" w:asciiTheme="minorEastAsia" w:hAnsiTheme="minorEastAsia" w:cstheme="minorEastAsia"/>
                <w:b/>
                <w:bCs/>
                <w:color w:val="auto"/>
                <w:spacing w:val="0"/>
                <w:sz w:val="24"/>
                <w:szCs w:val="24"/>
                <w:lang w:val="en-US" w:eastAsia="zh-CN"/>
              </w:rPr>
              <w:t>0.8</w:t>
            </w:r>
            <w:r>
              <w:rPr>
                <w:rFonts w:hint="eastAsia" w:asciiTheme="minorEastAsia" w:hAnsiTheme="minorEastAsia" w:eastAsiaTheme="minorEastAsia" w:cstheme="minorEastAsia"/>
                <w:b/>
                <w:bCs/>
                <w:color w:val="auto"/>
                <w:spacing w:val="0"/>
                <w:sz w:val="24"/>
                <w:szCs w:val="24"/>
              </w:rPr>
              <w:t>%</w:t>
            </w:r>
            <w:r>
              <w:rPr>
                <w:rFonts w:hint="eastAsia" w:ascii="宋体" w:hAnsi="宋体" w:eastAsia="宋体" w:cs="宋体"/>
                <w:b/>
                <w:bCs/>
                <w:color w:val="auto"/>
                <w:spacing w:val="0"/>
                <w:sz w:val="24"/>
                <w:szCs w:val="24"/>
              </w:rPr>
              <w:t>的标准下浮20%收取；招标代理服务费账户：开户名：福建景鑫招标有限公司南平分公司，开户行：兴业银行南平延平支行，帐 号：192010100100154632。 ②特别提醒：根据《关于进一步做好新冠肺炎疫情常态化下举办政府采购活动疫情防控工作的通知》闽财购函〔2021〕7号的规定，所有参与政府采购活动的人员要主动向政府采购活动组织方报告14天内个人去向及身体健康状况，主动测量体温并出示本人健康码，保持安全社交距离，全程佩戴口罩；涉及省外中、高风险地区的人员，应符合来(返)闽的疫情防控要求，并持有本人24小时内核酸检测阴性结果的报告单。各投标人若因疫情原因无法到达开标现场投标的，根据《关于疫情防控期间开展政府采购活动有关事项的通知》，为快速有效阻断疫情传播扩散，保障群众的生命安全和身体健康，本项目</w:t>
            </w:r>
            <w:r>
              <w:rPr>
                <w:rFonts w:hint="eastAsia" w:ascii="宋体" w:hAnsi="宋体" w:eastAsia="宋体" w:cs="宋体"/>
                <w:b/>
                <w:bCs/>
                <w:color w:val="auto"/>
                <w:spacing w:val="0"/>
                <w:sz w:val="24"/>
                <w:szCs w:val="24"/>
                <w:lang w:eastAsia="zh-CN"/>
              </w:rPr>
              <w:t>可</w:t>
            </w:r>
            <w:r>
              <w:rPr>
                <w:rFonts w:hint="eastAsia" w:ascii="宋体" w:hAnsi="宋体" w:eastAsia="宋体" w:cs="宋体"/>
                <w:b/>
                <w:bCs/>
                <w:color w:val="auto"/>
                <w:spacing w:val="0"/>
                <w:sz w:val="24"/>
                <w:szCs w:val="24"/>
              </w:rPr>
              <w:t>运用远程开标等功能。③质疑受理的其它要求：在法定质疑期内质疑人须一次性提出针对同一采购程序环节的质疑，二（多）次质疑不予受理。质疑人递交质疑函时还应出具质疑人已在福建省政府采购网上公开信息系统上获取招标文件的证明文件（体现查看时间或获取招标文件时间）【查看时间或获取招标文件时间以福建省政府采购网上公开信息系统记载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069" w:type="dxa"/>
            <w:gridSpan w:val="2"/>
            <w:shd w:val="clear" w:color="auto" w:fill="auto"/>
            <w:tcMar>
              <w:top w:w="75" w:type="dxa"/>
              <w:left w:w="150" w:type="dxa"/>
              <w:bottom w:w="75" w:type="dxa"/>
              <w:right w:w="150" w:type="dxa"/>
            </w:tcMar>
            <w:vAlign w:val="center"/>
          </w:tcPr>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     备注</w:t>
            </w:r>
          </w:p>
        </w:tc>
        <w:tc>
          <w:tcPr>
            <w:tcW w:w="7662" w:type="dxa"/>
            <w:shd w:val="clear" w:color="auto" w:fill="auto"/>
            <w:tcMar>
              <w:top w:w="75" w:type="dxa"/>
              <w:left w:w="150" w:type="dxa"/>
              <w:bottom w:w="75" w:type="dxa"/>
              <w:right w:w="150" w:type="dxa"/>
            </w:tcMar>
            <w:vAlign w:val="center"/>
          </w:tcPr>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Style w:val="14"/>
                <w:rFonts w:hint="eastAsia" w:ascii="宋体" w:hAnsi="宋体" w:eastAsia="宋体" w:cs="宋体"/>
                <w:b/>
                <w:bCs/>
                <w:color w:val="auto"/>
                <w:spacing w:val="0"/>
                <w:sz w:val="24"/>
                <w:szCs w:val="24"/>
              </w:rPr>
              <w:t>后有投标人须知前附表2，请勿遗漏。</w:t>
            </w:r>
          </w:p>
        </w:tc>
      </w:tr>
    </w:tbl>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 </w:t>
      </w: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 </w:t>
      </w:r>
    </w:p>
    <w:p>
      <w:pPr>
        <w:rPr>
          <w:rStyle w:val="14"/>
          <w:rFonts w:hint="eastAsia" w:ascii="宋体" w:hAnsi="宋体" w:eastAsia="宋体" w:cs="宋体"/>
          <w:b/>
          <w:bCs/>
          <w:color w:val="auto"/>
          <w:sz w:val="24"/>
          <w:szCs w:val="24"/>
        </w:rPr>
      </w:pPr>
      <w:r>
        <w:rPr>
          <w:rStyle w:val="14"/>
          <w:rFonts w:hint="eastAsia" w:ascii="宋体" w:hAnsi="宋体" w:eastAsia="宋体" w:cs="宋体"/>
          <w:b/>
          <w:bCs/>
          <w:color w:val="auto"/>
          <w:sz w:val="24"/>
          <w:szCs w:val="24"/>
        </w:rPr>
        <w:br w:type="page"/>
      </w: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auto"/>
          <w:sz w:val="24"/>
          <w:szCs w:val="24"/>
        </w:rPr>
      </w:pPr>
      <w:r>
        <w:rPr>
          <w:rStyle w:val="14"/>
          <w:rFonts w:hint="eastAsia" w:ascii="宋体" w:hAnsi="宋体" w:eastAsia="宋体" w:cs="宋体"/>
          <w:b/>
          <w:bCs/>
          <w:color w:val="auto"/>
          <w:sz w:val="24"/>
          <w:szCs w:val="24"/>
        </w:rPr>
        <w:t>二、投标人须知前附表2</w:t>
      </w:r>
    </w:p>
    <w:tbl>
      <w:tblPr>
        <w:tblStyle w:val="11"/>
        <w:tblW w:w="9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837"/>
        <w:gridCol w:w="9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848" w:type="dxa"/>
            <w:gridSpan w:val="2"/>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auto"/>
                <w:sz w:val="24"/>
                <w:szCs w:val="24"/>
              </w:rPr>
            </w:pPr>
            <w:r>
              <w:rPr>
                <w:rStyle w:val="14"/>
                <w:rFonts w:hint="eastAsia" w:ascii="宋体" w:hAnsi="宋体" w:eastAsia="宋体" w:cs="宋体"/>
                <w:b/>
                <w:bCs/>
                <w:color w:val="auto"/>
                <w:spacing w:val="0"/>
                <w:sz w:val="24"/>
                <w:szCs w:val="24"/>
              </w:rPr>
              <w:t>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37"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序号</w:t>
            </w:r>
          </w:p>
        </w:tc>
        <w:tc>
          <w:tcPr>
            <w:tcW w:w="9011"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837"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w:t>
            </w:r>
          </w:p>
        </w:tc>
        <w:tc>
          <w:tcPr>
            <w:tcW w:w="9011"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（1）电子招标投标活动的专门规定适用本项目电子招标投标活动。</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（2）将招标文件</w:t>
            </w:r>
            <w:r>
              <w:rPr>
                <w:rFonts w:hint="eastAsia" w:ascii="宋体" w:hAnsi="宋体" w:eastAsia="宋体" w:cs="宋体"/>
                <w:color w:val="auto"/>
                <w:spacing w:val="0"/>
                <w:sz w:val="24"/>
                <w:szCs w:val="24"/>
                <w:u w:val="single"/>
              </w:rPr>
              <w:t>无</w:t>
            </w:r>
            <w:r>
              <w:rPr>
                <w:rFonts w:hint="eastAsia" w:ascii="宋体" w:hAnsi="宋体" w:eastAsia="宋体" w:cs="宋体"/>
                <w:color w:val="auto"/>
                <w:spacing w:val="0"/>
                <w:sz w:val="24"/>
                <w:szCs w:val="24"/>
              </w:rPr>
              <w:t>的内容</w:t>
            </w:r>
            <w:r>
              <w:rPr>
                <w:rStyle w:val="14"/>
                <w:rFonts w:hint="eastAsia" w:ascii="宋体" w:hAnsi="宋体" w:eastAsia="宋体" w:cs="宋体"/>
                <w:b/>
                <w:bCs/>
                <w:color w:val="auto"/>
                <w:spacing w:val="0"/>
                <w:sz w:val="24"/>
                <w:szCs w:val="24"/>
              </w:rPr>
              <w:t>修正为</w:t>
            </w:r>
            <w:r>
              <w:rPr>
                <w:rFonts w:hint="eastAsia" w:ascii="宋体" w:hAnsi="宋体" w:eastAsia="宋体" w:cs="宋体"/>
                <w:color w:val="auto"/>
                <w:spacing w:val="0"/>
                <w:sz w:val="24"/>
                <w:szCs w:val="24"/>
              </w:rPr>
              <w:t>下列内容：</w:t>
            </w:r>
            <w:r>
              <w:rPr>
                <w:rFonts w:hint="eastAsia" w:ascii="宋体" w:hAnsi="宋体" w:eastAsia="宋体" w:cs="宋体"/>
                <w:color w:val="auto"/>
                <w:spacing w:val="0"/>
                <w:sz w:val="24"/>
                <w:szCs w:val="24"/>
                <w:u w:val="single"/>
              </w:rPr>
              <w:t>无</w:t>
            </w:r>
            <w:r>
              <w:rPr>
                <w:rFonts w:hint="eastAsia" w:ascii="宋体" w:hAnsi="宋体" w:eastAsia="宋体" w:cs="宋体"/>
                <w:color w:val="auto"/>
                <w:spacing w:val="0"/>
                <w:sz w:val="24"/>
                <w:szCs w:val="24"/>
              </w:rPr>
              <w:t>后适用本项目的电子招标投标活动。</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（3）将下列内容</w:t>
            </w:r>
            <w:r>
              <w:rPr>
                <w:rStyle w:val="14"/>
                <w:rFonts w:hint="eastAsia" w:ascii="宋体" w:hAnsi="宋体" w:eastAsia="宋体" w:cs="宋体"/>
                <w:b/>
                <w:bCs/>
                <w:color w:val="auto"/>
                <w:spacing w:val="0"/>
                <w:sz w:val="24"/>
                <w:szCs w:val="24"/>
              </w:rPr>
              <w:t>增列为</w:t>
            </w:r>
            <w:r>
              <w:rPr>
                <w:rFonts w:hint="eastAsia" w:ascii="宋体" w:hAnsi="宋体" w:eastAsia="宋体" w:cs="宋体"/>
                <w:color w:val="auto"/>
                <w:spacing w:val="0"/>
                <w:sz w:val="24"/>
                <w:szCs w:val="24"/>
              </w:rPr>
              <w:t>招标文件的组成部分（以下简称：“增列内容”）适用本项目的电子招标投标活动，若增列内容与招标文件其他章节内容有冲突，应以增列内容为准：</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①电子招标投标活动的具体操作流程以福建省政府采购网上公开信息系统设定的为准。</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②关于电子投标文件：</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a.投标人应按照福建省政府采购网上公开信息系统设定的评审节点编制电子投标文件，否则</w:t>
            </w:r>
            <w:r>
              <w:rPr>
                <w:rStyle w:val="14"/>
                <w:rFonts w:hint="eastAsia" w:ascii="宋体" w:hAnsi="宋体" w:eastAsia="宋体" w:cs="宋体"/>
                <w:b/>
                <w:bCs/>
                <w:color w:val="auto"/>
                <w:spacing w:val="0"/>
                <w:sz w:val="24"/>
                <w:szCs w:val="24"/>
              </w:rPr>
              <w:t>资格审查小组、评标委员会将按照不利于投标人的内容进行认定。</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b.投标人应在投标截止时间前按照福建省政府采购网上公开信息系统设定的操作流程将电子投标文件</w:t>
            </w:r>
            <w:r>
              <w:rPr>
                <w:rStyle w:val="14"/>
                <w:rFonts w:hint="eastAsia" w:ascii="宋体" w:hAnsi="宋体" w:eastAsia="宋体" w:cs="宋体"/>
                <w:b/>
                <w:bCs/>
                <w:color w:val="auto"/>
                <w:spacing w:val="0"/>
                <w:sz w:val="24"/>
                <w:szCs w:val="24"/>
                <w:u w:val="single"/>
              </w:rPr>
              <w:t>1</w:t>
            </w:r>
            <w:r>
              <w:rPr>
                <w:rFonts w:hint="eastAsia" w:ascii="宋体" w:hAnsi="宋体" w:eastAsia="宋体" w:cs="宋体"/>
                <w:color w:val="auto"/>
                <w:spacing w:val="0"/>
                <w:sz w:val="24"/>
                <w:szCs w:val="24"/>
              </w:rPr>
              <w:t>份上传至福建省政府采购网上公开信息系统。电子投标文件的分项报价一览表、投标客户端的分项报价一览表应保持一致，并以投标客户端的分项报价一览表为准。</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③关于证明材料或资料：</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a.招标文件要求原件的，投标人在电子投标文件中可提供复印件（含扫描件），但同时应准备好原件备查</w:t>
            </w:r>
            <w:r>
              <w:rPr>
                <w:rStyle w:val="14"/>
                <w:rFonts w:hint="eastAsia" w:ascii="宋体" w:hAnsi="宋体" w:eastAsia="宋体" w:cs="宋体"/>
                <w:b/>
                <w:bCs/>
                <w:color w:val="auto"/>
                <w:sz w:val="24"/>
                <w:szCs w:val="24"/>
              </w:rPr>
              <w:t>（未能在规定时间内提供原件核查的，将按不利于投标人进行评审）</w:t>
            </w:r>
            <w:r>
              <w:rPr>
                <w:rFonts w:hint="eastAsia" w:ascii="宋体" w:hAnsi="宋体" w:eastAsia="宋体" w:cs="宋体"/>
                <w:color w:val="auto"/>
                <w:sz w:val="24"/>
                <w:szCs w:val="24"/>
              </w:rPr>
              <w:t>；招标文件要求复印件的，投标人在电子投标文件中提供原件、复印件（含扫描件）皆可；招标文件对原件、复印件未作要求的，投标人在电子投标文件中提供原件、复印件（含扫描件）皆可。</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b.若投标人提供注明“复印件无效”或“复印无效”的证明材料或资料，应结合上文a条款进行判定，若招标文件未要求投标人提供原件，投标人提供原件，复印件（含扫描件）均视为满足招标文件要求</w:t>
            </w:r>
            <w:r>
              <w:rPr>
                <w:rStyle w:val="14"/>
                <w:rFonts w:hint="eastAsia" w:ascii="宋体" w:hAnsi="宋体" w:eastAsia="宋体" w:cs="宋体"/>
                <w:b/>
                <w:bCs/>
                <w:color w:val="auto"/>
                <w:sz w:val="24"/>
                <w:szCs w:val="24"/>
              </w:rPr>
              <w:t>。</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④关于“全称”、“投标人代表签字”及“加盖单位公章”：</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a.在电子投标文件中，涉及“全称”和“投标人代表签字”的内容可使用打字录入方式完成。</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b.在电子投标文件中，涉及“加盖单位公章”的内容应使用投标人的CA证书完成，否则</w:t>
            </w:r>
            <w:r>
              <w:rPr>
                <w:rStyle w:val="14"/>
                <w:rFonts w:hint="eastAsia" w:ascii="宋体" w:hAnsi="宋体" w:eastAsia="宋体" w:cs="宋体"/>
                <w:b/>
                <w:bCs/>
                <w:color w:val="auto"/>
                <w:spacing w:val="0"/>
                <w:sz w:val="24"/>
                <w:szCs w:val="24"/>
              </w:rPr>
              <w:t>投标无效。</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c.在电子投标文件中，若投标人按照本增列内容第④点第b项规定加盖其单位公章，则出现无全称、或投标人代表未签字等情形，</w:t>
            </w:r>
            <w:r>
              <w:rPr>
                <w:rStyle w:val="14"/>
                <w:rFonts w:hint="eastAsia" w:ascii="宋体" w:hAnsi="宋体" w:eastAsia="宋体" w:cs="宋体"/>
                <w:b/>
                <w:bCs/>
                <w:color w:val="auto"/>
                <w:spacing w:val="0"/>
                <w:sz w:val="24"/>
                <w:szCs w:val="24"/>
              </w:rPr>
              <w:t>不视为投标无效。</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⑤关于投标人的CA证书：</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a.投标人的CA证书应在系统规定时间内使用CA证书进行电子投标文件的解密操作，逾期未解密的视为放弃投标。</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b.投标人的CA证书可采用信封（包括但不限于：信封、档案袋、文件袋等）作为外包装进行单独包装。外包装密封、不密封皆可。</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c.投标人的CA证书或外包装应标记“项目名称、项目编号、投标人的全称”等内容，以方便识别、使用。</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d.投标人的CA证书应能正常、有效使用，否则产生不利后果由投标人承担责任。</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⑥关于投标截止时间过后</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a.未按招标文件规定提交投标保证金的，</w:t>
            </w:r>
            <w:r>
              <w:rPr>
                <w:rStyle w:val="14"/>
                <w:rFonts w:hint="eastAsia" w:ascii="宋体" w:hAnsi="宋体" w:eastAsia="宋体" w:cs="宋体"/>
                <w:b/>
                <w:bCs/>
                <w:color w:val="auto"/>
                <w:spacing w:val="0"/>
                <w:sz w:val="24"/>
                <w:szCs w:val="24"/>
              </w:rPr>
              <w:t>其投标将按无效投标处理。</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b.有下列情形之一的，其</w:t>
            </w:r>
            <w:r>
              <w:rPr>
                <w:rStyle w:val="14"/>
                <w:rFonts w:hint="eastAsia" w:ascii="宋体" w:hAnsi="宋体" w:eastAsia="宋体" w:cs="宋体"/>
                <w:b/>
                <w:bCs/>
                <w:color w:val="auto"/>
                <w:spacing w:val="0"/>
                <w:sz w:val="24"/>
                <w:szCs w:val="24"/>
              </w:rPr>
              <w:t>投标无效</w:t>
            </w:r>
            <w:r>
              <w:rPr>
                <w:rFonts w:hint="eastAsia" w:ascii="宋体" w:hAnsi="宋体" w:eastAsia="宋体" w:cs="宋体"/>
                <w:color w:val="auto"/>
                <w:spacing w:val="0"/>
                <w:sz w:val="24"/>
                <w:szCs w:val="24"/>
              </w:rPr>
              <w:t>,其保证金不予退还：</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b1不同投标人的电子投标文件具有相同内部识别码；</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b2不同投标人的投标保证金从同一单位或个人的账户转出；</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b3投标人的投标保证金同一采购包下有其他投标人提交的投标保证金；</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b4不同投标人存在串通投标的其他情形。</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⑧其他：无。</w:t>
            </w:r>
          </w:p>
        </w:tc>
      </w:tr>
    </w:tbl>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 </w:t>
      </w: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 </w:t>
      </w:r>
    </w:p>
    <w:p>
      <w:pPr>
        <w:rPr>
          <w:rStyle w:val="14"/>
          <w:rFonts w:hint="eastAsia" w:ascii="宋体" w:hAnsi="宋体" w:eastAsia="宋体" w:cs="宋体"/>
          <w:b/>
          <w:bCs/>
          <w:color w:val="auto"/>
          <w:spacing w:val="0"/>
          <w:sz w:val="24"/>
          <w:szCs w:val="24"/>
        </w:rPr>
      </w:pPr>
      <w:r>
        <w:rPr>
          <w:rStyle w:val="14"/>
          <w:rFonts w:hint="eastAsia" w:ascii="宋体" w:hAnsi="宋体" w:eastAsia="宋体" w:cs="宋体"/>
          <w:b/>
          <w:bCs/>
          <w:color w:val="auto"/>
          <w:spacing w:val="0"/>
          <w:sz w:val="24"/>
          <w:szCs w:val="24"/>
        </w:rPr>
        <w:br w:type="page"/>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sz w:val="32"/>
          <w:szCs w:val="32"/>
        </w:rPr>
      </w:pPr>
      <w:r>
        <w:rPr>
          <w:rStyle w:val="14"/>
          <w:rFonts w:hint="eastAsia" w:ascii="宋体" w:hAnsi="宋体" w:eastAsia="宋体" w:cs="宋体"/>
          <w:b/>
          <w:bCs/>
          <w:color w:val="auto"/>
          <w:spacing w:val="0"/>
          <w:sz w:val="32"/>
          <w:szCs w:val="32"/>
        </w:rPr>
        <w:t>第三章   投标人须知</w:t>
      </w: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auto"/>
          <w:sz w:val="24"/>
          <w:szCs w:val="24"/>
        </w:rPr>
      </w:pPr>
      <w:r>
        <w:rPr>
          <w:rStyle w:val="14"/>
          <w:rFonts w:hint="eastAsia" w:ascii="宋体" w:hAnsi="宋体" w:eastAsia="宋体" w:cs="宋体"/>
          <w:b/>
          <w:bCs/>
          <w:color w:val="auto"/>
          <w:spacing w:val="0"/>
          <w:sz w:val="24"/>
          <w:szCs w:val="24"/>
        </w:rPr>
        <w:t>一、总则</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1、适用范围</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1.1适用于招标文件载明项目的政府采购活动（以下简称：“本次采购活动”）。</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2、定义</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2.1“采购标的”指招标文件载明的需要采购的货物或服务。</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2.2“潜在投标人”指按照招标文件第一章第7条规定获取招标文件且有意向参加本项目投标的供应商。</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2.3“投标人”指按照招标文件第一章第7条规定获取招标文件并参加本项目投标的供应商。</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2.4“单位负责人”指单位法定代表人或法律、法规规定代表单位行使职权的主要负责人。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2.5“投标人代表”指投标人的单位负责人或“单位负责人授权书”中载明的接受授权方。</w:t>
      </w: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 </w:t>
      </w: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auto"/>
          <w:sz w:val="24"/>
          <w:szCs w:val="24"/>
        </w:rPr>
      </w:pPr>
      <w:r>
        <w:rPr>
          <w:rStyle w:val="14"/>
          <w:rFonts w:hint="eastAsia" w:ascii="宋体" w:hAnsi="宋体" w:eastAsia="宋体" w:cs="宋体"/>
          <w:b/>
          <w:bCs/>
          <w:color w:val="auto"/>
          <w:spacing w:val="0"/>
          <w:sz w:val="24"/>
          <w:szCs w:val="24"/>
        </w:rPr>
        <w:t>二、投标人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3、合格投标人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3.1一般规定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（1）投标人应遵守政府采购法及实施条例、政府采购招投标管理办法、</w:t>
      </w:r>
      <w:r>
        <w:rPr>
          <w:rFonts w:hint="eastAsia" w:ascii="宋体" w:hAnsi="宋体" w:eastAsia="宋体" w:cs="宋体"/>
          <w:color w:val="auto"/>
          <w:sz w:val="24"/>
          <w:szCs w:val="24"/>
        </w:rPr>
        <w:t>政府采购质疑和投诉办法及财政部、</w:t>
      </w:r>
      <w:r>
        <w:rPr>
          <w:rFonts w:hint="eastAsia" w:ascii="宋体" w:hAnsi="宋体" w:eastAsia="宋体" w:cs="宋体"/>
          <w:color w:val="auto"/>
          <w:spacing w:val="0"/>
          <w:sz w:val="24"/>
          <w:szCs w:val="24"/>
        </w:rPr>
        <w:t>福建省财政厅有关政府采购文件的规定，同时还应遵守有关法律、法规和规章的强制性规定。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（2）投标人的资格要求：详见招标文件第一章。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3.2若本项目接受联合体投标且投标人为联合体，则联合体各方应遵守本章第3.1条规定，同时还应遵守下列规定：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（1）联合体各方应提交联合体协议，联合体协议应符合招标文件规定。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（2）联合体各方不得再单独参加或与其他供应商另外组成联合体参加同一合同项下的投标。</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（3）联合体各方应共同与采购人签订政府采购合同，就政府采购合同约定的事项对采购人承担连带责任。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（5）联合体一方放弃中标的，视为联合体整体放弃中标，联合体各方承担连带责任。</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（6）如本项目不接受联合体投标而投标人为联合体的，或者本项目接受联合体投标但投标人组成的联合体不符合本章第3.2条规定的，投标无效。</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4、投标费用</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4.1除招标文件另有规定外，投标人应自行承担其参加本项目投标所涉及的一切费用。</w:t>
      </w: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 </w:t>
      </w: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auto"/>
          <w:sz w:val="24"/>
          <w:szCs w:val="24"/>
        </w:rPr>
      </w:pPr>
      <w:r>
        <w:rPr>
          <w:rStyle w:val="14"/>
          <w:rFonts w:hint="eastAsia" w:ascii="宋体" w:hAnsi="宋体" w:eastAsia="宋体" w:cs="宋体"/>
          <w:b/>
          <w:bCs/>
          <w:color w:val="auto"/>
          <w:spacing w:val="0"/>
          <w:sz w:val="24"/>
          <w:szCs w:val="24"/>
        </w:rPr>
        <w:t>三、招标</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5、招标文件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5.1招标文件由下述部分组成：</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（1）投标邀请</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（2）投标人须知前附表（表1、2）</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（3）投标人须知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（4）资格审查与评标</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（5）招标内容及要求</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（6）政府采购合同（参考文本）</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（7）电子投标文件格式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（8）按照招标文件规定作为招标文件组成部分的其他内容（若有）</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5.2招标文件的澄清或修改</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w:t>
      </w:r>
      <w:r>
        <w:rPr>
          <w:rFonts w:hint="eastAsia" w:ascii="宋体" w:hAnsi="宋体" w:eastAsia="宋体" w:cs="宋体"/>
          <w:color w:val="auto"/>
          <w:spacing w:val="0"/>
          <w:sz w:val="24"/>
          <w:szCs w:val="24"/>
          <w:u w:val="single"/>
        </w:rPr>
        <w:t>福建景鑫招标有限公司</w:t>
      </w:r>
      <w:r>
        <w:rPr>
          <w:rFonts w:hint="eastAsia" w:ascii="宋体" w:hAnsi="宋体" w:eastAsia="宋体" w:cs="宋体"/>
          <w:color w:val="auto"/>
          <w:spacing w:val="0"/>
          <w:sz w:val="24"/>
          <w:szCs w:val="24"/>
        </w:rPr>
        <w:t>可对已发出的招标文件进行必要的澄清或修改，但不得对招标文件载明的采购标的和投标人的资格要求进行改变。</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（2）除本章第5.2条第（3）款规定情形外，澄清或修改的内容可能影响电子投标文件编制的，</w:t>
      </w:r>
      <w:r>
        <w:rPr>
          <w:rFonts w:hint="eastAsia" w:ascii="宋体" w:hAnsi="宋体" w:eastAsia="宋体" w:cs="宋体"/>
          <w:color w:val="auto"/>
          <w:spacing w:val="0"/>
          <w:sz w:val="24"/>
          <w:szCs w:val="24"/>
          <w:u w:val="single"/>
        </w:rPr>
        <w:t>福建景鑫招标有限公司</w:t>
      </w:r>
      <w:r>
        <w:rPr>
          <w:rFonts w:hint="eastAsia" w:ascii="宋体" w:hAnsi="宋体" w:eastAsia="宋体" w:cs="宋体"/>
          <w:color w:val="auto"/>
          <w:spacing w:val="0"/>
          <w:sz w:val="24"/>
          <w:szCs w:val="24"/>
        </w:rPr>
        <w:t>将在投标截止时间至少15个日历日前，在招标文件载明的指定媒体以更正公告的形式发布澄清或修改的内容。不足15个日历日的，</w:t>
      </w:r>
      <w:r>
        <w:rPr>
          <w:rFonts w:hint="eastAsia" w:ascii="宋体" w:hAnsi="宋体" w:eastAsia="宋体" w:cs="宋体"/>
          <w:color w:val="auto"/>
          <w:spacing w:val="0"/>
          <w:sz w:val="24"/>
          <w:szCs w:val="24"/>
          <w:u w:val="single"/>
        </w:rPr>
        <w:t>福建景鑫招标有限公司</w:t>
      </w:r>
      <w:r>
        <w:rPr>
          <w:rFonts w:hint="eastAsia" w:ascii="宋体" w:hAnsi="宋体" w:eastAsia="宋体" w:cs="宋体"/>
          <w:color w:val="auto"/>
          <w:spacing w:val="0"/>
          <w:sz w:val="24"/>
          <w:szCs w:val="24"/>
        </w:rPr>
        <w:t>将顺延投标截止时间及开标时间，</w:t>
      </w:r>
      <w:r>
        <w:rPr>
          <w:rFonts w:hint="eastAsia" w:ascii="宋体" w:hAnsi="宋体" w:eastAsia="宋体" w:cs="宋体"/>
          <w:color w:val="auto"/>
          <w:spacing w:val="0"/>
          <w:sz w:val="24"/>
          <w:szCs w:val="24"/>
          <w:u w:val="single"/>
        </w:rPr>
        <w:t>福建景鑫招标有限公司</w:t>
      </w:r>
      <w:r>
        <w:rPr>
          <w:rFonts w:hint="eastAsia" w:ascii="宋体" w:hAnsi="宋体" w:eastAsia="宋体" w:cs="宋体"/>
          <w:color w:val="auto"/>
          <w:spacing w:val="0"/>
          <w:sz w:val="24"/>
          <w:szCs w:val="24"/>
        </w:rPr>
        <w:t>和投标人受原投标截止时间及开标时间制约的所有权利和义务均延长至新的投标截止时间及开标时间。</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（3）澄清或修改的内容可能改变招标文件载明的采购标的和投标人的资格要求的，本次采购活动结束，</w:t>
      </w:r>
      <w:r>
        <w:rPr>
          <w:rFonts w:hint="eastAsia" w:ascii="宋体" w:hAnsi="宋体" w:eastAsia="宋体" w:cs="宋体"/>
          <w:color w:val="auto"/>
          <w:spacing w:val="0"/>
          <w:sz w:val="24"/>
          <w:szCs w:val="24"/>
          <w:u w:val="single"/>
        </w:rPr>
        <w:t>福建景鑫招标有限公司</w:t>
      </w:r>
      <w:r>
        <w:rPr>
          <w:rFonts w:hint="eastAsia" w:ascii="宋体" w:hAnsi="宋体" w:eastAsia="宋体" w:cs="宋体"/>
          <w:color w:val="auto"/>
          <w:spacing w:val="0"/>
          <w:sz w:val="24"/>
          <w:szCs w:val="24"/>
        </w:rPr>
        <w:t>将依法组织后续采购活动（包括但不限于：重新招标、采用其他方式采购等）。</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6、现场考察或开标前答疑会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6.1是否组织现场考察或召开开标前答疑会：详见招标文件第二章。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7、更正公告</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7.1若</w:t>
      </w:r>
      <w:r>
        <w:rPr>
          <w:rFonts w:hint="eastAsia" w:ascii="宋体" w:hAnsi="宋体" w:eastAsia="宋体" w:cs="宋体"/>
          <w:color w:val="auto"/>
          <w:spacing w:val="0"/>
          <w:sz w:val="24"/>
          <w:szCs w:val="24"/>
          <w:u w:val="single"/>
        </w:rPr>
        <w:t>福建景鑫招标有限公司</w:t>
      </w:r>
      <w:r>
        <w:rPr>
          <w:rFonts w:hint="eastAsia" w:ascii="宋体" w:hAnsi="宋体" w:eastAsia="宋体" w:cs="宋体"/>
          <w:color w:val="auto"/>
          <w:spacing w:val="0"/>
          <w:sz w:val="24"/>
          <w:szCs w:val="24"/>
        </w:rPr>
        <w:t>发布更正公告，则更正公告及其所发布的内容或信息（包括但不限于：招标文件的澄清或修改、现场考察或答疑会的有关事宜等）</w:t>
      </w:r>
      <w:r>
        <w:rPr>
          <w:rStyle w:val="14"/>
          <w:rFonts w:hint="eastAsia" w:ascii="宋体" w:hAnsi="宋体" w:eastAsia="宋体" w:cs="宋体"/>
          <w:b/>
          <w:bCs/>
          <w:color w:val="auto"/>
          <w:spacing w:val="0"/>
          <w:sz w:val="24"/>
          <w:szCs w:val="24"/>
        </w:rPr>
        <w:t>作为招标文件组成部分</w:t>
      </w:r>
      <w:r>
        <w:rPr>
          <w:rFonts w:hint="eastAsia" w:ascii="宋体" w:hAnsi="宋体" w:eastAsia="宋体" w:cs="宋体"/>
          <w:color w:val="auto"/>
          <w:spacing w:val="0"/>
          <w:sz w:val="24"/>
          <w:szCs w:val="24"/>
        </w:rPr>
        <w:t>，对投标人具有约束力。</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7.2更正公告作为</w:t>
      </w:r>
      <w:r>
        <w:rPr>
          <w:rFonts w:hint="eastAsia" w:ascii="宋体" w:hAnsi="宋体" w:eastAsia="宋体" w:cs="宋体"/>
          <w:color w:val="auto"/>
          <w:spacing w:val="0"/>
          <w:sz w:val="24"/>
          <w:szCs w:val="24"/>
          <w:u w:val="single"/>
        </w:rPr>
        <w:t>福建景鑫招标有限公司</w:t>
      </w:r>
      <w:r>
        <w:rPr>
          <w:rFonts w:hint="eastAsia" w:ascii="宋体" w:hAnsi="宋体" w:eastAsia="宋体" w:cs="宋体"/>
          <w:color w:val="auto"/>
          <w:spacing w:val="0"/>
          <w:sz w:val="24"/>
          <w:szCs w:val="24"/>
        </w:rPr>
        <w:t>通知所有潜在投标人的书面形式。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8、终止公告</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8.1若出现因重大变故导致采购任务取消情形，</w:t>
      </w:r>
      <w:r>
        <w:rPr>
          <w:rFonts w:hint="eastAsia" w:ascii="宋体" w:hAnsi="宋体" w:eastAsia="宋体" w:cs="宋体"/>
          <w:color w:val="auto"/>
          <w:spacing w:val="0"/>
          <w:sz w:val="24"/>
          <w:szCs w:val="24"/>
          <w:u w:val="none"/>
        </w:rPr>
        <w:t>福建景鑫招标有限公司可终止招标并发布终止公告。</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u w:val="none"/>
        </w:rPr>
        <w:t>8.2终止公告作为福建景鑫招标有限公司</w:t>
      </w:r>
      <w:r>
        <w:rPr>
          <w:rFonts w:hint="eastAsia" w:ascii="宋体" w:hAnsi="宋体" w:eastAsia="宋体" w:cs="宋体"/>
          <w:color w:val="auto"/>
          <w:spacing w:val="0"/>
          <w:sz w:val="24"/>
          <w:szCs w:val="24"/>
        </w:rPr>
        <w:t>通知所有潜在投标人的书面形式。</w:t>
      </w: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auto"/>
          <w:sz w:val="24"/>
          <w:szCs w:val="24"/>
        </w:rPr>
      </w:pPr>
      <w:r>
        <w:rPr>
          <w:rStyle w:val="14"/>
          <w:rFonts w:hint="eastAsia" w:ascii="宋体" w:hAnsi="宋体" w:eastAsia="宋体" w:cs="宋体"/>
          <w:b/>
          <w:bCs/>
          <w:color w:val="auto"/>
          <w:spacing w:val="0"/>
          <w:sz w:val="24"/>
          <w:szCs w:val="24"/>
        </w:rPr>
        <w:t>四、投标</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9、投标</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9.1投标人可对招标文件载明的全部或部分采购包进行投标。</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9.2投标人应对同一个采购包内的所有内容进行完整投标，否则</w:t>
      </w:r>
      <w:r>
        <w:rPr>
          <w:rStyle w:val="14"/>
          <w:rFonts w:hint="eastAsia" w:ascii="宋体" w:hAnsi="宋体" w:eastAsia="宋体" w:cs="宋体"/>
          <w:b/>
          <w:bCs/>
          <w:color w:val="auto"/>
          <w:spacing w:val="0"/>
          <w:sz w:val="24"/>
          <w:szCs w:val="24"/>
        </w:rPr>
        <w:t>投标无效</w:t>
      </w:r>
      <w:r>
        <w:rPr>
          <w:rFonts w:hint="eastAsia" w:ascii="宋体" w:hAnsi="宋体" w:eastAsia="宋体" w:cs="宋体"/>
          <w:color w:val="auto"/>
          <w:spacing w:val="0"/>
          <w:sz w:val="24"/>
          <w:szCs w:val="24"/>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9.3投标人代表只能接受一个投标人的授权参加投标，否则</w:t>
      </w:r>
      <w:r>
        <w:rPr>
          <w:rStyle w:val="14"/>
          <w:rFonts w:hint="eastAsia" w:ascii="宋体" w:hAnsi="宋体" w:eastAsia="宋体" w:cs="宋体"/>
          <w:b/>
          <w:bCs/>
          <w:color w:val="auto"/>
          <w:spacing w:val="0"/>
          <w:sz w:val="24"/>
          <w:szCs w:val="24"/>
        </w:rPr>
        <w:t>投标无效</w:t>
      </w:r>
      <w:r>
        <w:rPr>
          <w:rFonts w:hint="eastAsia" w:ascii="宋体" w:hAnsi="宋体" w:eastAsia="宋体" w:cs="宋体"/>
          <w:color w:val="auto"/>
          <w:spacing w:val="0"/>
          <w:sz w:val="24"/>
          <w:szCs w:val="24"/>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9.4单位负责人为同一人或存在直接控股、管理关系的不同供应商，不得同时参加同一合同项下的投标，否则</w:t>
      </w:r>
      <w:r>
        <w:rPr>
          <w:rStyle w:val="14"/>
          <w:rFonts w:hint="eastAsia" w:ascii="宋体" w:hAnsi="宋体" w:eastAsia="宋体" w:cs="宋体"/>
          <w:b/>
          <w:bCs/>
          <w:color w:val="auto"/>
          <w:spacing w:val="0"/>
          <w:sz w:val="24"/>
          <w:szCs w:val="24"/>
        </w:rPr>
        <w:t>投标无效</w:t>
      </w:r>
      <w:r>
        <w:rPr>
          <w:rFonts w:hint="eastAsia" w:ascii="宋体" w:hAnsi="宋体" w:eastAsia="宋体" w:cs="宋体"/>
          <w:color w:val="auto"/>
          <w:spacing w:val="0"/>
          <w:sz w:val="24"/>
          <w:szCs w:val="24"/>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9.5为本项目提供整体设计、规范编制或项目管理、监理、检测等服务的供应商，不得参加本项目除整体设计、规范编制和项目管理、监理、检测等服务外的采购活动，否则</w:t>
      </w:r>
      <w:r>
        <w:rPr>
          <w:rStyle w:val="14"/>
          <w:rFonts w:hint="eastAsia" w:ascii="宋体" w:hAnsi="宋体" w:eastAsia="宋体" w:cs="宋体"/>
          <w:b/>
          <w:bCs/>
          <w:color w:val="auto"/>
          <w:spacing w:val="0"/>
          <w:sz w:val="24"/>
          <w:szCs w:val="24"/>
        </w:rPr>
        <w:t>投标无效</w:t>
      </w:r>
      <w:r>
        <w:rPr>
          <w:rFonts w:hint="eastAsia" w:ascii="宋体" w:hAnsi="宋体" w:eastAsia="宋体" w:cs="宋体"/>
          <w:color w:val="auto"/>
          <w:spacing w:val="0"/>
          <w:sz w:val="24"/>
          <w:szCs w:val="24"/>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9.6列入失信被执行人、重大税收违法案件当事人名单、政府采购严重违法失信行为记录名单及其他不符合政府采购法第二十二条规定条件的供应商，不得参加投标，否则</w:t>
      </w:r>
      <w:r>
        <w:rPr>
          <w:rStyle w:val="14"/>
          <w:rFonts w:hint="eastAsia" w:ascii="宋体" w:hAnsi="宋体" w:eastAsia="宋体" w:cs="宋体"/>
          <w:b/>
          <w:bCs/>
          <w:color w:val="auto"/>
          <w:spacing w:val="0"/>
          <w:sz w:val="24"/>
          <w:szCs w:val="24"/>
        </w:rPr>
        <w:t>投标无效</w:t>
      </w:r>
      <w:r>
        <w:rPr>
          <w:rFonts w:hint="eastAsia" w:ascii="宋体" w:hAnsi="宋体" w:eastAsia="宋体" w:cs="宋体"/>
          <w:color w:val="auto"/>
          <w:spacing w:val="0"/>
          <w:sz w:val="24"/>
          <w:szCs w:val="24"/>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9.7有下列情形之一的，视为投标人串通投标，</w:t>
      </w:r>
      <w:r>
        <w:rPr>
          <w:rStyle w:val="14"/>
          <w:rFonts w:hint="eastAsia" w:ascii="宋体" w:hAnsi="宋体" w:eastAsia="宋体" w:cs="宋体"/>
          <w:b/>
          <w:bCs/>
          <w:color w:val="auto"/>
          <w:spacing w:val="0"/>
          <w:sz w:val="24"/>
          <w:szCs w:val="24"/>
        </w:rPr>
        <w:t>其投标无效：</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（1）不同投标人的电子投标文件由同一单位或个人编制；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（2）不同投标人委托同一单位或个人办理投标事宜；</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（3）不同投标人的电子投标文件载明的项目管理成员或联系人员为同一人；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（4）不同投标人的电子投标文件异常一致或投标报价呈规律性差异；</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（5）不同投标人的电子投标文件相互混装；</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（6）不同投标人的投标保证金从同一单位或个人的账户转出；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（7）有关法律、法规和规章及招标文件规定的其他串通投标情形。</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10、电子投标文件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10.1电子投标文件的编制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（1）投标人应先仔细阅读招标文件的全部内容后，再进行电子投标文件的编制。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（2）电子投标文件应按照本章第10.2条规定编制其组成部分。</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（3）电子投标文件应满足招标文件提出的实质性要求和条件，并保证其所提交的全部资料是不可割离且真实、有效、准确、完整和不具有任何误导性的，否则造成不利后果由投标人承担责任。</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10.2电子投标文件由下述部分组成：</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（1）资格及资信证明部分</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①投标函</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②投标人的资格及资信证明文件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③投标保证金</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（2）报价部分</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①开标一览表</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②投标分项报价表</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③招标文件规定的价格扣除证明材料（若有）</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④招标文件规定的加分证明材料（若有）</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（3）技术商务部分</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①标的说明一览表</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②技术和服务要求响应表</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③商务条件响应表</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④投标人提交的其他资料（若有）</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⑤招标文件规定作为电子投标文件组成部分的其他内容（若有）</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10.3电子投标文件的语言</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（1）除招标文件另有规定外，电子投标文件应使用中文文本，若有不同文本，以中文文本为准。</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10.4投标文件的份数：详见招标文件第二章。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10.5电子投标文件的格式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（1）除招标文件另有规定外，电子投标文件应使用招标文件第七章规定的格式。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（2）除招标文件另有规定外，电子投标文件应使用不能擦去的墨料或墨水打印、书写或复印。</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（3）除招标文件另有规定外，电子投标文件应使用人民币作为计量货币。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（4）除招标文件另有规定外，签署、盖章应遵守下列规定：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①电子投标文件应加盖投标人的单位公章。若投标人代表为单位授权的委托代理人，应提供“单位授权书”。</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②电子投标文件应没有涂改或行间插字，除非这些改动是根据</w:t>
      </w:r>
      <w:r>
        <w:rPr>
          <w:rFonts w:hint="eastAsia" w:ascii="宋体" w:hAnsi="宋体" w:eastAsia="宋体" w:cs="宋体"/>
          <w:color w:val="auto"/>
          <w:spacing w:val="0"/>
          <w:sz w:val="24"/>
          <w:szCs w:val="24"/>
          <w:u w:val="single"/>
        </w:rPr>
        <w:t>福建景鑫招标有限公司</w:t>
      </w:r>
      <w:r>
        <w:rPr>
          <w:rFonts w:hint="eastAsia" w:ascii="宋体" w:hAnsi="宋体" w:eastAsia="宋体" w:cs="宋体"/>
          <w:color w:val="auto"/>
          <w:spacing w:val="0"/>
          <w:sz w:val="24"/>
          <w:szCs w:val="24"/>
        </w:rPr>
        <w:t>的指示进行的，或是为改正投标人造成的应修改的错误而进行的。若有前述改动，应按照下列规定之一对改动处进行处理：</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a.投标人代表签字确认；</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b.加盖投标人的单位公章或校正章。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10.6投标报价</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（1）投标报价超出最高限价将导致</w:t>
      </w:r>
      <w:r>
        <w:rPr>
          <w:rStyle w:val="14"/>
          <w:rFonts w:hint="eastAsia" w:ascii="宋体" w:hAnsi="宋体" w:eastAsia="宋体" w:cs="宋体"/>
          <w:b/>
          <w:bCs/>
          <w:color w:val="auto"/>
          <w:spacing w:val="0"/>
          <w:sz w:val="24"/>
          <w:szCs w:val="24"/>
        </w:rPr>
        <w:t>投标无效。</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（2）最高限价由采购人根据价格测算情况，在预算金额的额度内合理设定。最高限价不得超出预算金额。</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（3）除招标文件另有规定外，电子投标文件不能出现任何选择性的投标报价，即每一个采购包和品目号的采购标的都只能有一个投标报价。任何选择性的投标报价将导致</w:t>
      </w:r>
      <w:r>
        <w:rPr>
          <w:rStyle w:val="14"/>
          <w:rFonts w:hint="eastAsia" w:ascii="宋体" w:hAnsi="宋体" w:eastAsia="宋体" w:cs="宋体"/>
          <w:b/>
          <w:bCs/>
          <w:color w:val="auto"/>
          <w:spacing w:val="0"/>
          <w:sz w:val="24"/>
          <w:szCs w:val="24"/>
        </w:rPr>
        <w:t>投标无效。</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10.7分包</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（1）是否允许中标人将本项目的非主体、非关键性工作进行分包：详见招标文件第二章。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（3）招标文件允许中标人将非主体、非关键性工作进行分包的项目，有下列情形之一的，中标人不得分包：</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①电子投标文件中未载明分包承担主体；</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②电子投标文件载明的分包承担主体不具备相应资质条件；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③电子投标文件载明的分包承担主体拟再次分包；</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④享受中小企业扶持政策获得政府采购合同的，小微企业不得将合同分包给大中型企业，中型企业不得将合同分包给大型企业。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10.8投标有效期</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（1）招标文件载明的投标有效期：详见招标文件第二章。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（2）电子投标文件承诺的投标有效期不得少于招标文件载明的投标有效期，否则</w:t>
      </w:r>
      <w:r>
        <w:rPr>
          <w:rStyle w:val="14"/>
          <w:rFonts w:hint="eastAsia" w:ascii="宋体" w:hAnsi="宋体" w:eastAsia="宋体" w:cs="宋体"/>
          <w:b/>
          <w:bCs/>
          <w:color w:val="auto"/>
          <w:spacing w:val="0"/>
          <w:sz w:val="24"/>
          <w:szCs w:val="24"/>
        </w:rPr>
        <w:t>投标无效</w:t>
      </w:r>
      <w:r>
        <w:rPr>
          <w:rFonts w:hint="eastAsia" w:ascii="宋体" w:hAnsi="宋体" w:eastAsia="宋体" w:cs="宋体"/>
          <w:color w:val="auto"/>
          <w:spacing w:val="0"/>
          <w:sz w:val="24"/>
          <w:szCs w:val="24"/>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（3）根据本次采购活动的需要，</w:t>
      </w:r>
      <w:r>
        <w:rPr>
          <w:rFonts w:hint="eastAsia" w:ascii="宋体" w:hAnsi="宋体" w:eastAsia="宋体" w:cs="宋体"/>
          <w:color w:val="auto"/>
          <w:spacing w:val="0"/>
          <w:sz w:val="24"/>
          <w:szCs w:val="24"/>
          <w:u w:val="single"/>
        </w:rPr>
        <w:t>福建景鑫招标有限公司</w:t>
      </w:r>
      <w:r>
        <w:rPr>
          <w:rFonts w:hint="eastAsia" w:ascii="宋体" w:hAnsi="宋体" w:eastAsia="宋体" w:cs="宋体"/>
          <w:color w:val="auto"/>
          <w:spacing w:val="0"/>
          <w:sz w:val="24"/>
          <w:szCs w:val="24"/>
        </w:rPr>
        <w:t>可于投标有效期届满之前书面要求投标人延长投标有效期，投标人应在</w:t>
      </w:r>
      <w:r>
        <w:rPr>
          <w:rFonts w:hint="eastAsia" w:ascii="宋体" w:hAnsi="宋体" w:eastAsia="宋体" w:cs="宋体"/>
          <w:color w:val="auto"/>
          <w:spacing w:val="0"/>
          <w:sz w:val="24"/>
          <w:szCs w:val="24"/>
          <w:u w:val="single"/>
        </w:rPr>
        <w:t>福建景鑫招标有限公司</w:t>
      </w:r>
      <w:r>
        <w:rPr>
          <w:rFonts w:hint="eastAsia" w:ascii="宋体" w:hAnsi="宋体" w:eastAsia="宋体" w:cs="宋体"/>
          <w:color w:val="auto"/>
          <w:spacing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10.9投标保证金</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（1）投标保证金作为投标人按照招标文件规定履行相应投标责任、义务的约束及担保。</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（2）投标保证金的有效期应与电子投标文件承诺的投标有效期保持一致，否则</w:t>
      </w:r>
      <w:r>
        <w:rPr>
          <w:rStyle w:val="14"/>
          <w:rFonts w:hint="eastAsia" w:ascii="宋体" w:hAnsi="宋体" w:eastAsia="宋体" w:cs="宋体"/>
          <w:b/>
          <w:bCs/>
          <w:color w:val="auto"/>
          <w:spacing w:val="0"/>
          <w:sz w:val="24"/>
          <w:szCs w:val="24"/>
        </w:rPr>
        <w:t>投标无效</w:t>
      </w:r>
      <w:r>
        <w:rPr>
          <w:rFonts w:hint="eastAsia" w:ascii="宋体" w:hAnsi="宋体" w:eastAsia="宋体" w:cs="宋体"/>
          <w:color w:val="auto"/>
          <w:spacing w:val="0"/>
          <w:sz w:val="24"/>
          <w:szCs w:val="24"/>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（3）提交</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①投标人应从其银行账户</w:t>
      </w:r>
      <w:r>
        <w:rPr>
          <w:rStyle w:val="14"/>
          <w:rFonts w:hint="eastAsia" w:ascii="宋体" w:hAnsi="宋体" w:eastAsia="宋体" w:cs="宋体"/>
          <w:b/>
          <w:bCs/>
          <w:color w:val="auto"/>
          <w:spacing w:val="0"/>
          <w:sz w:val="24"/>
          <w:szCs w:val="24"/>
        </w:rPr>
        <w:t>（基本存款账户）</w:t>
      </w:r>
      <w:r>
        <w:rPr>
          <w:rFonts w:hint="eastAsia" w:ascii="宋体" w:hAnsi="宋体" w:eastAsia="宋体" w:cs="宋体"/>
          <w:color w:val="auto"/>
          <w:spacing w:val="0"/>
          <w:sz w:val="24"/>
          <w:szCs w:val="24"/>
        </w:rPr>
        <w:t>按照下列方式：</w:t>
      </w:r>
      <w:r>
        <w:rPr>
          <w:rStyle w:val="14"/>
          <w:rFonts w:hint="eastAsia" w:ascii="宋体" w:hAnsi="宋体" w:eastAsia="宋体" w:cs="宋体"/>
          <w:b/>
          <w:bCs/>
          <w:color w:val="auto"/>
          <w:spacing w:val="0"/>
          <w:sz w:val="24"/>
          <w:szCs w:val="24"/>
        </w:rPr>
        <w:t>公对公转账方式</w:t>
      </w:r>
      <w:r>
        <w:rPr>
          <w:rFonts w:hint="eastAsia" w:ascii="宋体" w:hAnsi="宋体" w:eastAsia="宋体" w:cs="宋体"/>
          <w:color w:val="auto"/>
          <w:spacing w:val="0"/>
          <w:sz w:val="24"/>
          <w:szCs w:val="24"/>
        </w:rPr>
        <w:t>向招标文件载明的投标保证金账户提交投标保证金，具体金额详见招标文件第一章。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②投标保证金应于投标截止时间前到达招标文件载明的投标保证金账户，否则视为投标保证金未提交；是否到达按照下列方式认定：</w:t>
      </w:r>
      <w:r>
        <w:rPr>
          <w:rStyle w:val="14"/>
          <w:rFonts w:hint="eastAsia" w:ascii="宋体" w:hAnsi="宋体" w:eastAsia="宋体" w:cs="宋体"/>
          <w:b/>
          <w:bCs/>
          <w:color w:val="auto"/>
          <w:spacing w:val="0"/>
          <w:sz w:val="24"/>
          <w:szCs w:val="24"/>
        </w:rPr>
        <w:t>以福建省政府采购网上公开信息系统记载的为准。</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③若本项目接受联合体投标且投标人为联合体，则联合体中的牵头方应按照本章第10.9条第（3）款第①、②点规定提交投标保证金。</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Style w:val="14"/>
          <w:rFonts w:hint="eastAsia" w:ascii="宋体" w:hAnsi="宋体" w:eastAsia="宋体" w:cs="宋体"/>
          <w:b/>
          <w:bCs/>
          <w:color w:val="auto"/>
          <w:spacing w:val="0"/>
          <w:sz w:val="24"/>
          <w:szCs w:val="24"/>
        </w:rPr>
        <w:t>※除招标文件另有规定外，未按照上述规定提交投标保证金将导致资格审查不合格。</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（4）退还</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①在投标截止时间前撤回已提交的电子投标文件的投标人，其投标保证金将在</w:t>
      </w:r>
      <w:r>
        <w:rPr>
          <w:rFonts w:hint="eastAsia" w:ascii="宋体" w:hAnsi="宋体" w:eastAsia="宋体" w:cs="宋体"/>
          <w:color w:val="auto"/>
          <w:spacing w:val="0"/>
          <w:sz w:val="24"/>
          <w:szCs w:val="24"/>
          <w:u w:val="single"/>
        </w:rPr>
        <w:t>福建景鑫招标有限公司</w:t>
      </w:r>
      <w:r>
        <w:rPr>
          <w:rFonts w:hint="eastAsia" w:ascii="宋体" w:hAnsi="宋体" w:eastAsia="宋体" w:cs="宋体"/>
          <w:color w:val="auto"/>
          <w:spacing w:val="0"/>
          <w:sz w:val="24"/>
          <w:szCs w:val="24"/>
        </w:rPr>
        <w:t>收到投标人书面撤回通知之日起5个工作日内退回原账户。</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②未中标人的投标保证金将在中标通知书发出之日起5个工作日内退回原账户。</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③中标人的投标保证金将在政府采购合同签订之日起5个工作日内退回原账户；合同签订之日</w:t>
      </w:r>
      <w:r>
        <w:rPr>
          <w:rStyle w:val="14"/>
          <w:rFonts w:hint="eastAsia" w:ascii="宋体" w:hAnsi="宋体" w:eastAsia="宋体" w:cs="宋体"/>
          <w:b/>
          <w:bCs/>
          <w:color w:val="auto"/>
          <w:spacing w:val="0"/>
          <w:sz w:val="24"/>
          <w:szCs w:val="24"/>
        </w:rPr>
        <w:t>以福建省政府采购网上公开信息系统记载的为准。</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④终止招标的，</w:t>
      </w:r>
      <w:r>
        <w:rPr>
          <w:rFonts w:hint="eastAsia" w:ascii="宋体" w:hAnsi="宋体" w:eastAsia="宋体" w:cs="宋体"/>
          <w:color w:val="auto"/>
          <w:spacing w:val="0"/>
          <w:sz w:val="24"/>
          <w:szCs w:val="24"/>
          <w:u w:val="single"/>
        </w:rPr>
        <w:t>福建景鑫招标有限公司</w:t>
      </w:r>
      <w:r>
        <w:rPr>
          <w:rFonts w:hint="eastAsia" w:ascii="宋体" w:hAnsi="宋体" w:eastAsia="宋体" w:cs="宋体"/>
          <w:color w:val="auto"/>
          <w:spacing w:val="0"/>
          <w:sz w:val="24"/>
          <w:szCs w:val="24"/>
        </w:rPr>
        <w:t>将在终止公告发布之日起5个工作日内退回已收取的投标保证金及其在银行产生的孳息。</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⑤除招标文件另有规定外，质疑或投诉涉及的投标人，若投标保证金尚未退还，则待质疑或投诉处理完毕后不计利息原额退还。</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Style w:val="14"/>
          <w:rFonts w:hint="eastAsia" w:ascii="宋体" w:hAnsi="宋体" w:eastAsia="宋体" w:cs="宋体"/>
          <w:b/>
          <w:bCs/>
          <w:color w:val="auto"/>
          <w:spacing w:val="0"/>
          <w:sz w:val="24"/>
          <w:szCs w:val="24"/>
        </w:rPr>
        <w:t>※本章第10.9条第（4）款第①、②、③点规定的投标保证金退还时限不包括因投标人自身原因导致无法及时退还而增加的时间。</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（6）有下列情形之一的，投标保证金将不予退还：</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①投标人串通投标；</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②投标人提供虚假材料；</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③投标人采取不正当手段诋毁、排挤其他投标人；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④投标截止时间后，投标人在投标有效期内撤销电子投标文件；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⑤招标文件规定的其他不予退还情形；</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⑥中标人有下列情形之一的：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a.除不可抗力外，因中标人自身原因未在中标通知书要求的期限内与采购人签订政府采购合同；</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b.未按照招标文件、投标文件的约定签订政府采购合同或提交履约保证金。</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Style w:val="14"/>
          <w:rFonts w:hint="eastAsia" w:ascii="宋体" w:hAnsi="宋体" w:eastAsia="宋体" w:cs="宋体"/>
          <w:b/>
          <w:bCs/>
          <w:color w:val="auto"/>
          <w:spacing w:val="0"/>
          <w:sz w:val="24"/>
          <w:szCs w:val="24"/>
        </w:rPr>
        <w:t>※若上述投标保证金不予退还情形给采购人（采购代理机构）造成损失，则投标人还要承担相应的赔偿责任。</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10.10电子投标文件的提交</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（1）一个投标人只能提交一个电子投标文件，并按照招标文件第一章规定在系统上完成上传、解密操作。</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10.11电子投标文件的补充、修改或撤回</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（1）投标截止时间前，投标人可对所提交的电子投标文件进行补充、修改或撤回，并书面通知</w:t>
      </w:r>
      <w:r>
        <w:rPr>
          <w:rFonts w:hint="eastAsia" w:ascii="宋体" w:hAnsi="宋体" w:eastAsia="宋体" w:cs="宋体"/>
          <w:color w:val="auto"/>
          <w:spacing w:val="0"/>
          <w:sz w:val="24"/>
          <w:szCs w:val="24"/>
          <w:u w:val="single"/>
        </w:rPr>
        <w:t>福建景鑫招标有限公司</w:t>
      </w:r>
      <w:r>
        <w:rPr>
          <w:rFonts w:hint="eastAsia" w:ascii="宋体" w:hAnsi="宋体" w:eastAsia="宋体" w:cs="宋体"/>
          <w:color w:val="auto"/>
          <w:spacing w:val="0"/>
          <w:sz w:val="24"/>
          <w:szCs w:val="24"/>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（2）补充、修改的内容应按照本章第10.5条第（4）款规定进行签署、盖章，并按照本章第10.10条规定提交，</w:t>
      </w:r>
      <w:r>
        <w:rPr>
          <w:rStyle w:val="14"/>
          <w:rFonts w:hint="eastAsia" w:ascii="宋体" w:hAnsi="宋体" w:eastAsia="宋体" w:cs="宋体"/>
          <w:b/>
          <w:bCs/>
          <w:color w:val="auto"/>
          <w:spacing w:val="0"/>
          <w:sz w:val="24"/>
          <w:szCs w:val="24"/>
        </w:rPr>
        <w:t>否则将被拒收。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Style w:val="14"/>
          <w:rFonts w:hint="eastAsia" w:ascii="宋体" w:hAnsi="宋体" w:eastAsia="宋体" w:cs="宋体"/>
          <w:b/>
          <w:bCs/>
          <w:color w:val="auto"/>
          <w:spacing w:val="0"/>
          <w:sz w:val="24"/>
          <w:szCs w:val="24"/>
        </w:rPr>
        <w:t>※按照上述规定提交的补充、修改内容作为电子投标文件组成部分。</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10.12除招标文件另有规定外，有下列情形之一的，</w:t>
      </w:r>
      <w:r>
        <w:rPr>
          <w:rStyle w:val="14"/>
          <w:rFonts w:hint="eastAsia" w:ascii="宋体" w:hAnsi="宋体" w:eastAsia="宋体" w:cs="宋体"/>
          <w:b/>
          <w:bCs/>
          <w:color w:val="auto"/>
          <w:spacing w:val="0"/>
          <w:sz w:val="24"/>
          <w:szCs w:val="24"/>
        </w:rPr>
        <w:t>投标无效</w:t>
      </w:r>
      <w:r>
        <w:rPr>
          <w:rFonts w:hint="eastAsia" w:ascii="宋体" w:hAnsi="宋体" w:eastAsia="宋体" w:cs="宋体"/>
          <w:color w:val="auto"/>
          <w:spacing w:val="0"/>
          <w:sz w:val="24"/>
          <w:szCs w:val="24"/>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（1）电子投标文件未按照招标文件要求签署、盖章；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（2）不符合招标文件中规定的资格要求；</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（3）投标报价超过招标文件中规定的预算金额或最高限价；</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（4）电子投标文件含有采购人不能接受的附加条件；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（5）有关法律、法规和规章及招标文件规定的其他无效情形。</w:t>
      </w: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 </w:t>
      </w: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auto"/>
          <w:sz w:val="24"/>
          <w:szCs w:val="24"/>
        </w:rPr>
      </w:pPr>
      <w:r>
        <w:rPr>
          <w:rStyle w:val="14"/>
          <w:rFonts w:hint="eastAsia" w:ascii="宋体" w:hAnsi="宋体" w:eastAsia="宋体" w:cs="宋体"/>
          <w:b/>
          <w:bCs/>
          <w:color w:val="auto"/>
          <w:spacing w:val="0"/>
          <w:sz w:val="24"/>
          <w:szCs w:val="24"/>
        </w:rPr>
        <w:t>五、开标</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11、开标</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11.1</w:t>
      </w:r>
      <w:r>
        <w:rPr>
          <w:rFonts w:hint="eastAsia" w:ascii="宋体" w:hAnsi="宋体" w:eastAsia="宋体" w:cs="宋体"/>
          <w:color w:val="auto"/>
          <w:spacing w:val="0"/>
          <w:sz w:val="24"/>
          <w:szCs w:val="24"/>
          <w:u w:val="single"/>
        </w:rPr>
        <w:t>福建景鑫招标有限公司</w:t>
      </w:r>
      <w:r>
        <w:rPr>
          <w:rFonts w:hint="eastAsia" w:ascii="宋体" w:hAnsi="宋体" w:eastAsia="宋体" w:cs="宋体"/>
          <w:color w:val="auto"/>
          <w:spacing w:val="0"/>
          <w:sz w:val="24"/>
          <w:szCs w:val="24"/>
        </w:rPr>
        <w:t>将在招标文件载明的开标时间及地点主持召开开标会，并邀请投标人参加。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11.2开标会的主持人、唱标人、记录人及其他工作人员（若有）均由</w:t>
      </w:r>
      <w:r>
        <w:rPr>
          <w:rFonts w:hint="eastAsia" w:ascii="宋体" w:hAnsi="宋体" w:eastAsia="宋体" w:cs="宋体"/>
          <w:color w:val="auto"/>
          <w:spacing w:val="0"/>
          <w:sz w:val="24"/>
          <w:szCs w:val="24"/>
          <w:u w:val="single"/>
        </w:rPr>
        <w:t>福建景鑫招标有限公司</w:t>
      </w:r>
      <w:r>
        <w:rPr>
          <w:rFonts w:hint="eastAsia" w:ascii="宋体" w:hAnsi="宋体" w:eastAsia="宋体" w:cs="宋体"/>
          <w:color w:val="auto"/>
          <w:spacing w:val="0"/>
          <w:sz w:val="24"/>
          <w:szCs w:val="24"/>
        </w:rPr>
        <w:t>派出，现场监督人员（若有）可由有关方面派出。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11.4开标会应遵守下列规定：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（3）唱标结束后，参加现场开标会的投标人代表应对开标记录进行签字确认，通过远程参与开标流程的投标人须在系统远程签章开启后，在系统规定时间内对开标结果进行签章确认。</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（5）若投标人未到开标现场参加开标会，也未通过远程参加开标会的，视同认可开标结果。</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Style w:val="14"/>
          <w:rFonts w:hint="eastAsia" w:ascii="宋体" w:hAnsi="宋体" w:eastAsia="宋体" w:cs="宋体"/>
          <w:b/>
          <w:bCs/>
          <w:color w:val="auto"/>
          <w:spacing w:val="0"/>
          <w:sz w:val="24"/>
          <w:szCs w:val="24"/>
        </w:rPr>
        <w:t>※若出现本章第11.4条第（3）、（4）、（5）款规定情形之一</w:t>
      </w:r>
      <w:r>
        <w:rPr>
          <w:rFonts w:hint="eastAsia" w:ascii="宋体" w:hAnsi="宋体" w:eastAsia="宋体" w:cs="宋体"/>
          <w:color w:val="auto"/>
          <w:spacing w:val="0"/>
          <w:sz w:val="24"/>
          <w:szCs w:val="24"/>
        </w:rPr>
        <w:t>，</w:t>
      </w:r>
      <w:r>
        <w:rPr>
          <w:rStyle w:val="14"/>
          <w:rFonts w:hint="eastAsia" w:ascii="宋体" w:hAnsi="宋体" w:eastAsia="宋体" w:cs="宋体"/>
          <w:b/>
          <w:bCs/>
          <w:color w:val="auto"/>
          <w:spacing w:val="0"/>
          <w:sz w:val="24"/>
          <w:szCs w:val="24"/>
        </w:rPr>
        <w:t>则投标人不得在开标会后就开标过程和开标记录涉及或可能涉及的有关事由（包括但不限于：“投标报价”、“电子投标文件的格式”、“电子投标文件的提交”、“电子投标文件的补充、修改或撤回”等）向</w:t>
      </w:r>
      <w:r>
        <w:rPr>
          <w:rFonts w:hint="eastAsia" w:ascii="宋体" w:hAnsi="宋体" w:eastAsia="宋体" w:cs="宋体"/>
          <w:color w:val="auto"/>
          <w:spacing w:val="0"/>
          <w:sz w:val="24"/>
          <w:szCs w:val="24"/>
          <w:u w:val="single"/>
        </w:rPr>
        <w:t>福建景鑫招标有限公司</w:t>
      </w:r>
      <w:r>
        <w:rPr>
          <w:rStyle w:val="14"/>
          <w:rFonts w:hint="eastAsia" w:ascii="宋体" w:hAnsi="宋体" w:eastAsia="宋体" w:cs="宋体"/>
          <w:b/>
          <w:bCs/>
          <w:color w:val="auto"/>
          <w:spacing w:val="0"/>
          <w:sz w:val="24"/>
          <w:szCs w:val="24"/>
        </w:rPr>
        <w:t>提出任何疑义或要求（包括质疑）。</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11.5投标截止时间后，参加投标的投标人不足三家的，不进行开标。同时，本次采购活动结束，</w:t>
      </w:r>
      <w:r>
        <w:rPr>
          <w:rFonts w:hint="eastAsia" w:ascii="宋体" w:hAnsi="宋体" w:eastAsia="宋体" w:cs="宋体"/>
          <w:color w:val="auto"/>
          <w:spacing w:val="0"/>
          <w:sz w:val="24"/>
          <w:szCs w:val="24"/>
          <w:u w:val="single"/>
        </w:rPr>
        <w:t>福建景鑫招标有限公司</w:t>
      </w:r>
      <w:r>
        <w:rPr>
          <w:rFonts w:hint="eastAsia" w:ascii="宋体" w:hAnsi="宋体" w:eastAsia="宋体" w:cs="宋体"/>
          <w:color w:val="auto"/>
          <w:spacing w:val="0"/>
          <w:sz w:val="24"/>
          <w:szCs w:val="24"/>
        </w:rPr>
        <w:t>将依法组织后续采购活动（包括但不限于：重新招标、采用其他方式采购等）。</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11.6投标截止时间后撤销投标的处理</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投标截止时间后，投标人在投标有效期内撤销投标的，其撤销投标的行为无效。    </w:t>
      </w:r>
      <w:r>
        <w:rPr>
          <w:rFonts w:hint="eastAsia" w:ascii="宋体" w:hAnsi="宋体" w:eastAsia="宋体" w:cs="宋体"/>
          <w:color w:val="auto"/>
          <w:sz w:val="24"/>
          <w:szCs w:val="24"/>
        </w:rPr>
        <w:br w:type="textWrapping"/>
      </w: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auto"/>
          <w:sz w:val="24"/>
          <w:szCs w:val="24"/>
        </w:rPr>
      </w:pPr>
      <w:r>
        <w:rPr>
          <w:rStyle w:val="14"/>
          <w:rFonts w:hint="eastAsia" w:ascii="宋体" w:hAnsi="宋体" w:eastAsia="宋体" w:cs="宋体"/>
          <w:b/>
          <w:bCs/>
          <w:color w:val="auto"/>
          <w:spacing w:val="0"/>
          <w:sz w:val="24"/>
          <w:szCs w:val="24"/>
        </w:rPr>
        <w:t>六、中标与政府采购合同</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12、中标</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12.1本项目推荐的中标候选人家数：详见招标文件第二章。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12.2本项目中标人的确定：详见招标文件第二章。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12.3中标公告</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（1）中标人确定之日起2个工作日内，</w:t>
      </w:r>
      <w:r>
        <w:rPr>
          <w:rFonts w:hint="eastAsia" w:ascii="宋体" w:hAnsi="宋体" w:eastAsia="宋体" w:cs="宋体"/>
          <w:color w:val="auto"/>
          <w:spacing w:val="0"/>
          <w:sz w:val="24"/>
          <w:szCs w:val="24"/>
          <w:u w:val="single"/>
        </w:rPr>
        <w:t>福建景鑫招标有限公司</w:t>
      </w:r>
      <w:r>
        <w:rPr>
          <w:rFonts w:hint="eastAsia" w:ascii="宋体" w:hAnsi="宋体" w:eastAsia="宋体" w:cs="宋体"/>
          <w:color w:val="auto"/>
          <w:spacing w:val="0"/>
          <w:sz w:val="24"/>
          <w:szCs w:val="24"/>
        </w:rPr>
        <w:t>将在招标文件载明的指定媒体以中标公告的形式发布中标结果。</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（2）中标公告的公告期限为1个工作日。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12.4中标通知书</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（1）中标公告发布的同时，</w:t>
      </w:r>
      <w:r>
        <w:rPr>
          <w:rFonts w:hint="eastAsia" w:ascii="宋体" w:hAnsi="宋体" w:eastAsia="宋体" w:cs="宋体"/>
          <w:color w:val="auto"/>
          <w:spacing w:val="0"/>
          <w:sz w:val="24"/>
          <w:szCs w:val="24"/>
          <w:u w:val="single"/>
        </w:rPr>
        <w:t>福建景鑫招标有限公司</w:t>
      </w:r>
      <w:r>
        <w:rPr>
          <w:rFonts w:hint="eastAsia" w:ascii="宋体" w:hAnsi="宋体" w:eastAsia="宋体" w:cs="宋体"/>
          <w:color w:val="auto"/>
          <w:spacing w:val="0"/>
          <w:sz w:val="24"/>
          <w:szCs w:val="24"/>
        </w:rPr>
        <w:t>将向中标人发出中标通知书。</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（2）中标通知书发出后，采购人不得违法改变中标结果，中标人无正当理由不得放弃中标。</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13、政府采购合同</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13.2签订时限：</w:t>
      </w:r>
      <w:r>
        <w:rPr>
          <w:rFonts w:hint="eastAsia" w:ascii="宋体" w:hAnsi="宋体" w:eastAsia="宋体" w:cs="宋体"/>
          <w:color w:val="auto"/>
          <w:sz w:val="24"/>
          <w:szCs w:val="24"/>
        </w:rPr>
        <w:t>自中标通知书发出之日起30个日历日内。</w:t>
      </w:r>
      <w:r>
        <w:rPr>
          <w:rFonts w:hint="eastAsia" w:ascii="宋体" w:hAnsi="宋体" w:eastAsia="宋体" w:cs="宋体"/>
          <w:color w:val="auto"/>
          <w:spacing w:val="0"/>
          <w:sz w:val="24"/>
          <w:szCs w:val="24"/>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13.3政府采购合同的履行、违约责任和解决争议的方法等适用民法典。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13.4采购人与中标人应根据政府采购合同的约定依法履行合同义务。</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13.5政府采购合同履行过程中，采购人若需追加与合同标的相同的货物或服务，则追加采购金额不得超过原合同采购金额的10%。</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13.6中标人在政府采购合同履行过程中应遵守有关法律、法规和规章的强制性规定（即使前述强制性规定有可能在招标文件中未予列明）。</w:t>
      </w: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 </w:t>
      </w:r>
    </w:p>
    <w:p>
      <w:pPr>
        <w:rPr>
          <w:rStyle w:val="14"/>
          <w:rFonts w:hint="eastAsia" w:ascii="宋体" w:hAnsi="宋体" w:eastAsia="宋体" w:cs="宋体"/>
          <w:b/>
          <w:bCs/>
          <w:color w:val="auto"/>
          <w:spacing w:val="0"/>
          <w:sz w:val="24"/>
          <w:szCs w:val="24"/>
        </w:rPr>
      </w:pPr>
      <w:r>
        <w:rPr>
          <w:rStyle w:val="14"/>
          <w:rFonts w:hint="eastAsia" w:ascii="宋体" w:hAnsi="宋体" w:eastAsia="宋体" w:cs="宋体"/>
          <w:b/>
          <w:bCs/>
          <w:color w:val="auto"/>
          <w:spacing w:val="0"/>
          <w:sz w:val="24"/>
          <w:szCs w:val="24"/>
        </w:rPr>
        <w:br w:type="page"/>
      </w: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auto"/>
          <w:sz w:val="24"/>
          <w:szCs w:val="24"/>
        </w:rPr>
      </w:pPr>
      <w:r>
        <w:rPr>
          <w:rStyle w:val="14"/>
          <w:rFonts w:hint="eastAsia" w:ascii="宋体" w:hAnsi="宋体" w:eastAsia="宋体" w:cs="宋体"/>
          <w:b/>
          <w:bCs/>
          <w:color w:val="auto"/>
          <w:spacing w:val="0"/>
          <w:sz w:val="24"/>
          <w:szCs w:val="24"/>
        </w:rPr>
        <w:t>七、询问、质疑与投诉</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14、询问</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14.1潜在投标人或投标人对本次采购活动的有关事项若有疑问，可向福建景鑫招标有限公司提出询问，福建景鑫招标有限公司将按照政府采购法及实施条例的有关规定进行答复。</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15、质疑</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15.1</w:t>
      </w:r>
      <w:r>
        <w:rPr>
          <w:rFonts w:hint="eastAsia" w:ascii="宋体" w:hAnsi="宋体" w:eastAsia="宋体" w:cs="宋体"/>
          <w:color w:val="auto"/>
          <w:sz w:val="24"/>
          <w:szCs w:val="24"/>
        </w:rPr>
        <w:t>针对同一采购程序环节的质疑应在政府采购法及实施条例的时限内一次性提出</w:t>
      </w:r>
      <w:r>
        <w:rPr>
          <w:rFonts w:hint="eastAsia" w:ascii="宋体" w:hAnsi="宋体" w:eastAsia="宋体" w:cs="宋体"/>
          <w:color w:val="auto"/>
          <w:spacing w:val="0"/>
          <w:sz w:val="24"/>
          <w:szCs w:val="24"/>
        </w:rPr>
        <w:t>，对一个项目的不同采购包提出质疑的，应当将各采购包质疑事项集中在一份质疑函中提出，并同时符合下列条件：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（1）对招标文件提出质疑的，质疑人应为潜在投标人，且两者的身份、名称等均应保持一致。对采购过程、结果提出质疑的，质疑人应为投标人，且两者的身份、名称等均应保持一致。</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（2）质疑人应按照招标文件第二章规定方式提交质疑函。</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（3）质疑函应包括下列主要内容：</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①质疑人的基本信息，至少包括：全称、地址、邮政编码等；</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②所质疑项目的基本信息，至少包括：项目编号、项目名称等；</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③所质疑的具体事项（以下简称：“质疑事项”）；</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④针对质疑事项提出的明确请求，前述明确请求指质疑人提出质疑的目的以及希望福建景鑫招标有限公司对其质疑作出的处理结果，如：暂停招标投标活动、修改招标文件、停止或纠正违法违规行为、中标结果无效、废标、重新招标等；</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⑤针对质疑事项导致质疑人自身权益受到损害的必要证明材料，至少包括：</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a.质疑人代表的身份证明材料：</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a1</w:t>
      </w:r>
      <w:r>
        <w:rPr>
          <w:rFonts w:hint="eastAsia" w:ascii="宋体" w:hAnsi="宋体" w:eastAsia="宋体" w:cs="宋体"/>
          <w:color w:val="auto"/>
          <w:sz w:val="24"/>
          <w:szCs w:val="24"/>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r>
        <w:rPr>
          <w:rFonts w:hint="eastAsia" w:ascii="宋体" w:hAnsi="宋体" w:eastAsia="宋体" w:cs="宋体"/>
          <w:color w:val="auto"/>
          <w:spacing w:val="0"/>
          <w:sz w:val="24"/>
          <w:szCs w:val="24"/>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a2若本项目接受自然人投标且质疑人为自然人的，提供本人的身份证复印件。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b.</w:t>
      </w:r>
      <w:r>
        <w:rPr>
          <w:rFonts w:hint="eastAsia" w:ascii="宋体" w:hAnsi="宋体" w:eastAsia="宋体" w:cs="宋体"/>
          <w:color w:val="auto"/>
          <w:sz w:val="24"/>
          <w:szCs w:val="24"/>
        </w:rPr>
        <w:t>其他证明材料（即事实依据和必要的法律依据）</w:t>
      </w:r>
      <w:r>
        <w:rPr>
          <w:rFonts w:hint="eastAsia" w:ascii="宋体" w:hAnsi="宋体" w:eastAsia="宋体" w:cs="宋体"/>
          <w:color w:val="auto"/>
          <w:spacing w:val="0"/>
          <w:sz w:val="24"/>
          <w:szCs w:val="24"/>
        </w:rPr>
        <w:t>包括但不限于下列材料：</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b1所质疑的具体事项是与自已有利害关系的证明材料；</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b2质疑函所述事实存在的证明材料，如：采购文件、采购过程或中标结果违法违规或不符合采购文件要求等证明材料；</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b3依法应终止采购程序的证明材料；</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b4应重新采购的证明材料；</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b5采购文件、采购过程或中标、成交结果损害自已合法权益的证明材料等；</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14"/>
          <w:rFonts w:hint="eastAsia" w:ascii="宋体" w:hAnsi="宋体" w:eastAsia="宋体" w:cs="宋体"/>
          <w:b/>
          <w:bCs/>
          <w:color w:val="auto"/>
          <w:spacing w:val="0"/>
          <w:sz w:val="24"/>
          <w:szCs w:val="24"/>
        </w:rPr>
        <w:t>视为无效</w:t>
      </w:r>
      <w:r>
        <w:rPr>
          <w:rFonts w:hint="eastAsia" w:ascii="宋体" w:hAnsi="宋体" w:eastAsia="宋体" w:cs="宋体"/>
          <w:color w:val="auto"/>
          <w:spacing w:val="0"/>
          <w:sz w:val="24"/>
          <w:szCs w:val="24"/>
        </w:rPr>
        <w:t>）。</w:t>
      </w:r>
      <w:r>
        <w:rPr>
          <w:rFonts w:hint="eastAsia" w:ascii="宋体" w:hAnsi="宋体" w:eastAsia="宋体" w:cs="宋体"/>
          <w:color w:val="auto"/>
          <w:spacing w:val="0"/>
          <w:sz w:val="24"/>
          <w:szCs w:val="24"/>
        </w:rPr>
        <w:br w:type="textWrapping"/>
      </w:r>
      <w:r>
        <w:rPr>
          <w:rFonts w:hint="eastAsia" w:ascii="宋体" w:hAnsi="宋体" w:eastAsia="宋体" w:cs="宋体"/>
          <w:color w:val="auto"/>
          <w:sz w:val="24"/>
          <w:szCs w:val="24"/>
        </w:rPr>
        <w:t>⑥质疑人代表及其联系方法的信息，至少包括：姓名、手机、电子信箱、邮寄地址等。</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⑦提出质疑的日期。</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Style w:val="14"/>
          <w:rFonts w:hint="eastAsia" w:ascii="宋体" w:hAnsi="宋体" w:eastAsia="宋体" w:cs="宋体"/>
          <w:b/>
          <w:bCs/>
          <w:color w:val="auto"/>
          <w:sz w:val="24"/>
          <w:szCs w:val="24"/>
        </w:rPr>
        <w:t>※质疑人为法人或其他组织的，质疑函应由单位负责人或委托代理人签字或盖章，并加盖投标人的单位公章。质疑人为自然人的，质疑函应由本人签字。</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15.2对不符合本章第15.1条规定的质疑，将按照下列规定进行处理：</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（1）不符合其中第（1）、（2）条规定的，书面告知质疑人不予受理及其理由。</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（2）不符合其中第（3）条规定的，书面告知质疑人修改、补充后在规定时限内重新提交质疑函。</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15.3对符合本章第15.1条规定的质疑，将按照政府采购法及实施条例</w:t>
      </w:r>
      <w:r>
        <w:rPr>
          <w:rFonts w:hint="eastAsia" w:ascii="宋体" w:hAnsi="宋体" w:eastAsia="宋体" w:cs="宋体"/>
          <w:color w:val="auto"/>
          <w:sz w:val="24"/>
          <w:szCs w:val="24"/>
        </w:rPr>
        <w:t>、政府采购质疑和投诉办法</w:t>
      </w:r>
      <w:r>
        <w:rPr>
          <w:rFonts w:hint="eastAsia" w:ascii="宋体" w:hAnsi="宋体" w:eastAsia="宋体" w:cs="宋体"/>
          <w:color w:val="auto"/>
          <w:spacing w:val="0"/>
          <w:sz w:val="24"/>
          <w:szCs w:val="24"/>
        </w:rPr>
        <w:t>的有关规定进行答复。</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15.4招标文件的质疑：详见招标文件第二章。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16、投诉</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16.2投诉应有明确的请求和必要的证明材料，投诉的事项不得超出已质疑事项的范围。</w:t>
      </w: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 </w:t>
      </w: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auto"/>
          <w:sz w:val="24"/>
          <w:szCs w:val="24"/>
        </w:rPr>
      </w:pPr>
      <w:r>
        <w:rPr>
          <w:rStyle w:val="14"/>
          <w:rFonts w:hint="eastAsia" w:ascii="宋体" w:hAnsi="宋体" w:eastAsia="宋体" w:cs="宋体"/>
          <w:b/>
          <w:bCs/>
          <w:color w:val="auto"/>
          <w:spacing w:val="0"/>
          <w:sz w:val="24"/>
          <w:szCs w:val="24"/>
        </w:rPr>
        <w:t>八、政府采购政策</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17、政府采购政策由财政部根据国家的经济和社会发展政策并会同国家有关部委制定，包括但不限于下列具体政策要求：</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17.1进口产品指通过中国海关报关验放进入中国境内且产自关境外的产品，其中：</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（2）凡在海关特殊监管区域内企业生产或加工（包括从境外进口料件）销往境内其他地区的产品，不作为政府采购项下进口产品。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（3）对从境外进入海关特殊监管区域，再经办理报关手续后从海关特殊监管区进入境内其他地区的产品，认定为进口产品。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（4）招标文件列明不允许或未列明允许进口产品参加投标的，均视为拒绝进口产品参加投标。</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14"/>
          <w:rFonts w:hint="eastAsia" w:ascii="宋体" w:hAnsi="宋体" w:eastAsia="宋体" w:cs="宋体"/>
          <w:b/>
          <w:bCs/>
          <w:color w:val="auto"/>
          <w:sz w:val="24"/>
          <w:szCs w:val="24"/>
        </w:rPr>
        <w:t>“残疾人福利性单位”</w:t>
      </w:r>
      <w:r>
        <w:rPr>
          <w:rFonts w:hint="eastAsia" w:ascii="宋体" w:hAnsi="宋体" w:eastAsia="宋体" w:cs="宋体"/>
          <w:color w:val="auto"/>
          <w:sz w:val="24"/>
          <w:szCs w:val="24"/>
        </w:rPr>
        <w:t>）亦可享受前述扶持政策。其中：</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（1）中小企业指符合下列条件的中型、小型、微型企业：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②符合中小企业划分标准的个体工商户，在政府采购活动中视同中小企业。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（2）在政府采购活动中，供应商提供的货物、工程或者服务符合下列情形的，享受本办法规定的中小企业扶持政策：</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①在货物采购项目中，货物由中小企业制造，即货物由中小企业生产且使用该中小企业商号或者注册商标；</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②在工程采购项目中，工程由中小企业承建，即工程施工单位为中小企业；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③在服务采购项目中，服务由中小企业承接，即提供服务的人员为中小企业依照《中华人民共和国劳动合同法》订立劳动合同的从业人员。</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在货物采购项目中，供应商提供的货物既有中小企业制造货物，也有大型企业制造货物的，不享受本办法规定的中小企业扶持政策。</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以联合体形式参加政府采购活动，联合体各方均为中小企业的，联合体视同中小企业。其中，联合体各方均为小微企业的，联合体视同小微企业。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（3）投标人应当按照招标文件明确的采购标的对应行业的划分标准出具中小企业声明函。</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①监狱企业参加采购活动时，应提供由省级以上监狱管理局、戒毒管理局（含新疆生产建设兵团）出具的属于监狱企业的证明文件。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②监狱企业视同小型、微型企业。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（5）残疾人福利性单位指同时符合下列条件的单位：</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①安置的残疾人占本单位在职职工人数的比例不低于25%（含25%），并且安置的残疾人人数不少于10人（含10人）；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②依法与安置的每位残疾人签订了一年以上（含一年）的劳动合同或服务协议；</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③为安置的每位残疾人按月足额缴纳了基本养老保险、基本医疗保险、失业保险、工伤保险和生育保险等社会保险费；</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④通过银行等金融机构向安置的每位残疾人，按月支付了不低于单位所在区县适用的经省级人民政府批准的月最低工资标准的工资；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⑤提供本单位制造的货物、承担的工程或服务，或提供其他残疾人福利性单位制造的货物（不包括使用非残疾人福利性单位注册商标的货物）。</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Style w:val="14"/>
          <w:rFonts w:hint="eastAsia" w:ascii="宋体" w:hAnsi="宋体" w:eastAsia="宋体" w:cs="宋体"/>
          <w:b/>
          <w:bCs/>
          <w:color w:val="auto"/>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17.5信用记录指由财政部确定的有关网站提供的相关主体信用信息。信用记录的查询及使用应符合财政部文件（财库[2016]125号）规定。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17.6为落实政府采购政策需满足的要求：详见招标文件第一章。</w:t>
      </w: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 </w:t>
      </w: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auto"/>
          <w:sz w:val="24"/>
          <w:szCs w:val="24"/>
        </w:rPr>
      </w:pPr>
      <w:r>
        <w:rPr>
          <w:rStyle w:val="14"/>
          <w:rFonts w:hint="eastAsia" w:ascii="宋体" w:hAnsi="宋体" w:eastAsia="宋体" w:cs="宋体"/>
          <w:b/>
          <w:bCs/>
          <w:color w:val="auto"/>
          <w:spacing w:val="0"/>
          <w:sz w:val="24"/>
          <w:szCs w:val="24"/>
        </w:rPr>
        <w:t>九、本项目的有关信息</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18.1指定媒体：详见招标文件第二章。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18.2本项目的潜在投标人或投标人应随时关注指定媒体，否则产生不利后果由其自行承担。</w:t>
      </w: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 </w:t>
      </w: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left"/>
        <w:textAlignment w:val="auto"/>
        <w:rPr>
          <w:rStyle w:val="14"/>
          <w:rFonts w:hint="eastAsia" w:ascii="宋体" w:hAnsi="宋体" w:eastAsia="宋体" w:cs="宋体"/>
          <w:b/>
          <w:bCs/>
          <w:color w:val="auto"/>
          <w:spacing w:val="0"/>
          <w:sz w:val="24"/>
          <w:szCs w:val="24"/>
        </w:rPr>
      </w:pP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auto"/>
          <w:sz w:val="24"/>
          <w:szCs w:val="24"/>
        </w:rPr>
      </w:pPr>
      <w:r>
        <w:rPr>
          <w:rStyle w:val="14"/>
          <w:rFonts w:hint="eastAsia" w:ascii="宋体" w:hAnsi="宋体" w:eastAsia="宋体" w:cs="宋体"/>
          <w:b/>
          <w:bCs/>
          <w:color w:val="auto"/>
          <w:spacing w:val="0"/>
          <w:sz w:val="24"/>
          <w:szCs w:val="24"/>
        </w:rPr>
        <w:t>十、其他事项</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19、其他事项：</w:t>
      </w:r>
      <w:r>
        <w:rPr>
          <w:rFonts w:hint="eastAsia" w:ascii="宋体" w:hAnsi="宋体" w:eastAsia="宋体" w:cs="宋体"/>
          <w:color w:val="auto"/>
          <w:spacing w:val="0"/>
          <w:sz w:val="24"/>
          <w:szCs w:val="24"/>
        </w:rPr>
        <w:br w:type="textWrapping"/>
      </w:r>
      <w:r>
        <w:rPr>
          <w:rFonts w:hint="eastAsia" w:ascii="宋体" w:hAnsi="宋体" w:eastAsia="宋体" w:cs="宋体"/>
          <w:color w:val="auto"/>
          <w:sz w:val="24"/>
          <w:szCs w:val="24"/>
          <w:lang w:val="en-US" w:eastAsia="zh-CN"/>
        </w:rPr>
        <w:t xml:space="preserve">    1</w:t>
      </w:r>
      <w:r>
        <w:rPr>
          <w:rFonts w:hint="eastAsia" w:ascii="宋体" w:hAnsi="宋体" w:eastAsia="宋体" w:cs="宋体"/>
          <w:color w:val="auto"/>
          <w:sz w:val="24"/>
          <w:szCs w:val="24"/>
        </w:rPr>
        <w:t>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19.2其他：详见招标文件第二章。</w:t>
      </w: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 </w:t>
      </w:r>
    </w:p>
    <w:p>
      <w:pPr>
        <w:pStyle w:val="10"/>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 </w:t>
      </w:r>
    </w:p>
    <w:p>
      <w:pPr>
        <w:rPr>
          <w:rStyle w:val="14"/>
          <w:rFonts w:hint="eastAsia" w:ascii="宋体" w:hAnsi="宋体" w:eastAsia="宋体" w:cs="宋体"/>
          <w:b/>
          <w:bCs/>
          <w:color w:val="auto"/>
          <w:spacing w:val="0"/>
          <w:sz w:val="24"/>
          <w:szCs w:val="24"/>
        </w:rPr>
      </w:pPr>
      <w:r>
        <w:rPr>
          <w:rStyle w:val="14"/>
          <w:rFonts w:hint="eastAsia" w:ascii="宋体" w:hAnsi="宋体" w:eastAsia="宋体" w:cs="宋体"/>
          <w:b/>
          <w:bCs/>
          <w:color w:val="auto"/>
          <w:spacing w:val="0"/>
          <w:sz w:val="24"/>
          <w:szCs w:val="24"/>
        </w:rPr>
        <w:br w:type="page"/>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sz w:val="32"/>
          <w:szCs w:val="32"/>
        </w:rPr>
      </w:pPr>
      <w:r>
        <w:rPr>
          <w:rStyle w:val="14"/>
          <w:rFonts w:hint="eastAsia" w:ascii="宋体" w:hAnsi="宋体" w:eastAsia="宋体" w:cs="宋体"/>
          <w:b/>
          <w:bCs/>
          <w:color w:val="auto"/>
          <w:spacing w:val="0"/>
          <w:sz w:val="32"/>
          <w:szCs w:val="32"/>
        </w:rPr>
        <w:t>第四章   资格审查与评标</w:t>
      </w: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auto"/>
          <w:sz w:val="24"/>
          <w:szCs w:val="24"/>
        </w:rPr>
      </w:pPr>
      <w:r>
        <w:rPr>
          <w:rStyle w:val="14"/>
          <w:rFonts w:hint="eastAsia" w:ascii="宋体" w:hAnsi="宋体" w:eastAsia="宋体" w:cs="宋体"/>
          <w:b/>
          <w:bCs/>
          <w:color w:val="auto"/>
          <w:spacing w:val="0"/>
          <w:sz w:val="24"/>
          <w:szCs w:val="24"/>
        </w:rPr>
        <w:t>一、资格审查</w:t>
      </w: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1、开标结束后，由</w:t>
      </w:r>
      <w:r>
        <w:rPr>
          <w:rFonts w:hint="eastAsia" w:ascii="宋体" w:hAnsi="宋体" w:eastAsia="宋体" w:cs="宋体"/>
          <w:color w:val="auto"/>
          <w:spacing w:val="0"/>
          <w:sz w:val="24"/>
          <w:szCs w:val="24"/>
          <w:u w:val="single"/>
        </w:rPr>
        <w:t>福建景鑫招标有限公司</w:t>
      </w:r>
      <w:r>
        <w:rPr>
          <w:rFonts w:hint="eastAsia" w:ascii="宋体" w:hAnsi="宋体" w:eastAsia="宋体" w:cs="宋体"/>
          <w:color w:val="auto"/>
          <w:spacing w:val="0"/>
          <w:sz w:val="24"/>
          <w:szCs w:val="24"/>
        </w:rPr>
        <w:t>负责资格审查小组的组建及资格审查工作的组织。</w:t>
      </w: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1.1资格审查小组由3人组成，并负责具体审查事务，其中：由采购人派出的采购人代表至少</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人，由</w:t>
      </w:r>
      <w:r>
        <w:rPr>
          <w:rFonts w:hint="eastAsia" w:ascii="宋体" w:hAnsi="宋体" w:eastAsia="宋体" w:cs="宋体"/>
          <w:color w:val="auto"/>
          <w:spacing w:val="0"/>
          <w:sz w:val="24"/>
          <w:szCs w:val="24"/>
          <w:u w:val="single"/>
        </w:rPr>
        <w:t>福建景鑫招标有限公司</w:t>
      </w:r>
      <w:r>
        <w:rPr>
          <w:rFonts w:hint="eastAsia" w:ascii="宋体" w:hAnsi="宋体" w:eastAsia="宋体" w:cs="宋体"/>
          <w:color w:val="auto"/>
          <w:spacing w:val="0"/>
          <w:sz w:val="24"/>
          <w:szCs w:val="24"/>
        </w:rPr>
        <w:t>派出的工作人员至少</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人，其余</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人可为采购人代表或</w:t>
      </w:r>
      <w:r>
        <w:rPr>
          <w:rFonts w:hint="eastAsia" w:ascii="宋体" w:hAnsi="宋体" w:eastAsia="宋体" w:cs="宋体"/>
          <w:color w:val="auto"/>
          <w:spacing w:val="0"/>
          <w:sz w:val="24"/>
          <w:szCs w:val="24"/>
          <w:u w:val="single"/>
        </w:rPr>
        <w:t>福建景鑫招标有限公司</w:t>
      </w:r>
      <w:r>
        <w:rPr>
          <w:rFonts w:hint="eastAsia" w:ascii="宋体" w:hAnsi="宋体" w:eastAsia="宋体" w:cs="宋体"/>
          <w:color w:val="auto"/>
          <w:spacing w:val="0"/>
          <w:sz w:val="24"/>
          <w:szCs w:val="24"/>
        </w:rPr>
        <w:t>的工作人员。</w:t>
      </w: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1.2资格审查的依据是招标文件和电子投标文件。</w:t>
      </w: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1.3资格审查的范围及内容：电子投标文件（资格及资信证明部分），具体如下：</w:t>
      </w: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（1）</w:t>
      </w:r>
      <w:r>
        <w:rPr>
          <w:rFonts w:hint="eastAsia" w:ascii="宋体" w:hAnsi="宋体" w:eastAsia="宋体" w:cs="宋体"/>
          <w:color w:val="auto"/>
          <w:spacing w:val="0"/>
          <w:sz w:val="24"/>
          <w:szCs w:val="24"/>
        </w:rPr>
        <w:t>“投标函”；</w:t>
      </w:r>
      <w:r>
        <w:rPr>
          <w:rFonts w:hint="eastAsia" w:ascii="宋体" w:hAnsi="宋体" w:eastAsia="宋体" w:cs="宋体"/>
          <w:color w:val="auto"/>
          <w:spacing w:val="0"/>
          <w:sz w:val="24"/>
          <w:szCs w:val="24"/>
        </w:rPr>
        <w:br w:type="textWrapping"/>
      </w:r>
      <w:r>
        <w:rPr>
          <w:rFonts w:hint="eastAsia" w:ascii="宋体" w:hAnsi="宋体" w:eastAsia="宋体" w:cs="宋体"/>
          <w:color w:val="auto"/>
          <w:spacing w:val="0"/>
          <w:sz w:val="24"/>
          <w:szCs w:val="24"/>
        </w:rPr>
        <w:t>  （2）“投标人的资格及资信证明文件”</w:t>
      </w:r>
      <w:r>
        <w:rPr>
          <w:rFonts w:hint="eastAsia" w:ascii="宋体" w:hAnsi="宋体" w:eastAsia="宋体" w:cs="宋体"/>
          <w:color w:val="auto"/>
          <w:spacing w:val="0"/>
          <w:sz w:val="24"/>
          <w:szCs w:val="24"/>
        </w:rPr>
        <w:br w:type="textWrapping"/>
      </w:r>
      <w:r>
        <w:rPr>
          <w:rFonts w:hint="eastAsia" w:ascii="宋体" w:hAnsi="宋体" w:eastAsia="宋体" w:cs="宋体"/>
          <w:color w:val="auto"/>
          <w:spacing w:val="0"/>
          <w:sz w:val="24"/>
          <w:szCs w:val="24"/>
        </w:rPr>
        <w:t>   </w:t>
      </w:r>
      <w:r>
        <w:rPr>
          <w:rFonts w:hint="eastAsia" w:ascii="宋体" w:hAnsi="宋体" w:eastAsia="宋体" w:cs="宋体"/>
          <w:color w:val="auto"/>
          <w:sz w:val="24"/>
          <w:szCs w:val="24"/>
        </w:rPr>
        <w:t>①</w:t>
      </w:r>
      <w:r>
        <w:rPr>
          <w:rFonts w:hint="eastAsia" w:ascii="宋体" w:hAnsi="宋体" w:eastAsia="宋体" w:cs="宋体"/>
          <w:color w:val="auto"/>
          <w:spacing w:val="0"/>
          <w:sz w:val="24"/>
          <w:szCs w:val="24"/>
        </w:rPr>
        <w:t>一般资格证明文件：</w:t>
      </w:r>
    </w:p>
    <w:tbl>
      <w:tblPr>
        <w:tblStyle w:val="11"/>
        <w:tblW w:w="9762"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628"/>
        <w:gridCol w:w="613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jc w:val="center"/>
        </w:trPr>
        <w:tc>
          <w:tcPr>
            <w:tcW w:w="362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明细</w:t>
            </w:r>
          </w:p>
        </w:tc>
        <w:tc>
          <w:tcPr>
            <w:tcW w:w="61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62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（1）单位授权书</w:t>
            </w:r>
          </w:p>
        </w:tc>
        <w:tc>
          <w:tcPr>
            <w:tcW w:w="61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62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（2）营业执照等证明文件</w:t>
            </w:r>
          </w:p>
        </w:tc>
        <w:tc>
          <w:tcPr>
            <w:tcW w:w="61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62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（3）提供财务状况报告(财务报告、或资信证明）</w:t>
            </w:r>
          </w:p>
        </w:tc>
        <w:tc>
          <w:tcPr>
            <w:tcW w:w="61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62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（4）依法缴纳税收证明材料</w:t>
            </w:r>
          </w:p>
        </w:tc>
        <w:tc>
          <w:tcPr>
            <w:tcW w:w="61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b.投标截止时间的当月成立且已依法缴纳税收的投标人，提供投标截止时间当月的税收缴纳凭据复印件。 c.投标截止时间的当月成立但因税务机关原因导致其尚未依法缴纳税收的投标人，提供依法缴纳税收承诺书（格式自拟）的，视同满足本项资格条件要求。 d.若为依法免税范围的投标人，提供依法免税证明材料的，视同满足本项资格条件要求。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62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（5）依法缴纳社会保障资金证明材料</w:t>
            </w:r>
          </w:p>
        </w:tc>
        <w:tc>
          <w:tcPr>
            <w:tcW w:w="61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b.投标截止时间的当月成立且已依法缴纳社会保障资金的投标人，提供投标截止时间当月的社会保障资金缴纳凭据复印件。 c.投标截止时间的当月成立但因税务机关/社会保障资金管理机关原因导致其尚未依法缴纳社会保障资金的投标人，提供依法缴纳社会保障资金承诺书（格式自拟）的，视同满足本项资格条件要求。 d.若为依法不需要缴纳或暂缓缴纳社会保障资金的投标人，提供依法不需要缴纳或暂缓缴纳社会保障资金证明材料的，视同满足本项资格条件要求。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62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（6）具备履行合同所必需设备和专业技术能力的声明函(若有)</w:t>
            </w:r>
          </w:p>
        </w:tc>
        <w:tc>
          <w:tcPr>
            <w:tcW w:w="61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62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（7）参加采购活动前三年内在经营活动中没有重大违法记录的声明</w:t>
            </w:r>
          </w:p>
        </w:tc>
        <w:tc>
          <w:tcPr>
            <w:tcW w:w="61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62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（8）信用记录查询结果</w:t>
            </w:r>
          </w:p>
        </w:tc>
        <w:tc>
          <w:tcPr>
            <w:tcW w:w="61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62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（9）中小企业声明函（以资格条件落实中小企业扶持政策时适用 ）</w:t>
            </w:r>
          </w:p>
        </w:tc>
        <w:tc>
          <w:tcPr>
            <w:tcW w:w="61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62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（10）联合体协议（若有）</w:t>
            </w:r>
          </w:p>
        </w:tc>
        <w:tc>
          <w:tcPr>
            <w:tcW w:w="613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①招标文件接受联合体投标且投标人为联合体的，投标人应提供本协议；否则无须提供。 ②本协议由委托代理人签字或盖章的，应按照招标文件第七章载明的格式提供“单位授权书”。</w:t>
            </w:r>
          </w:p>
        </w:tc>
      </w:tr>
    </w:tbl>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pacing w:val="0"/>
          <w:sz w:val="24"/>
          <w:szCs w:val="24"/>
        </w:rPr>
        <w:t>备注说明</w:t>
      </w: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①投标人应根据自身实际情况提供上述资格要求的证明材料，格式可参考招标文件第七章提供。</w:t>
      </w: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②投标人提供的相应证明材料复印件均应符合：内容完整、清晰、整洁，并由投标人加盖其单位公章。</w:t>
      </w: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②.其他资格证明文件：</w:t>
      </w: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Style w:val="14"/>
          <w:rFonts w:hint="eastAsia" w:ascii="宋体" w:hAnsi="宋体" w:eastAsia="宋体" w:cs="宋体"/>
          <w:b/>
          <w:bCs/>
          <w:color w:val="auto"/>
          <w:spacing w:val="0"/>
          <w:sz w:val="24"/>
          <w:szCs w:val="24"/>
        </w:rPr>
        <w:t>包：1</w:t>
      </w:r>
    </w:p>
    <w:tbl>
      <w:tblPr>
        <w:tblStyle w:val="11"/>
        <w:tblW w:w="97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2214"/>
        <w:gridCol w:w="748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Header/>
          <w:jc w:val="center"/>
        </w:trPr>
        <w:tc>
          <w:tcPr>
            <w:tcW w:w="221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明细</w:t>
            </w:r>
          </w:p>
        </w:tc>
        <w:tc>
          <w:tcPr>
            <w:tcW w:w="748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21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落实政府采购政策的证明材料（专门面向中小企业采购）</w:t>
            </w:r>
          </w:p>
        </w:tc>
        <w:tc>
          <w:tcPr>
            <w:tcW w:w="748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①本项目专门面向符合财政部、工信部文件（财库〔2020〕46号）规定的中、小、微企业。投标人须按照本招标文件规定的范本提供《中小企业声明函》。投标人应认真对照《工业和信息化部、国家统计局、国家发展和改革委员会、财政部关于印发中小企业划型标准规定的通知》（工信部联企业[2011]300号）规定的划分标准，并按照国统字[2017]213号《关于印发&lt;统计上大中小微型企业划分办法(2017)&gt;的通知》规定准确划分企业类型，若招标文件中的有关条款与本条款有矛盾之处以此处为准。②监狱企业视同小型、微型企业，投标人为监狱企业的，可不提供中小企业声明函，但须提供由省级以上监狱管理局、戒毒管理局（含新疆生产建设兵团）出具的属于监狱企业的证明文件。③残疾人福利性单位视同小型、微型企业，投标人为残疾人福利性单位的，可不提供中小企业声明函，但须提供的《残疾人福利性单位声明函》。注：享受扶持政策获得政府采购合同的，小微企业不得将合同分包给大中型企业，中型企业不得将合同分包给大型企业。注：本项目为</w:t>
            </w:r>
            <w:r>
              <w:rPr>
                <w:rFonts w:hint="eastAsia" w:ascii="宋体" w:hAnsi="宋体" w:eastAsia="宋体" w:cs="宋体"/>
                <w:color w:val="auto"/>
                <w:sz w:val="24"/>
                <w:szCs w:val="24"/>
                <w:highlight w:val="none"/>
                <w:lang w:eastAsia="zh-CN"/>
              </w:rPr>
              <w:t>货物</w:t>
            </w:r>
            <w:r>
              <w:rPr>
                <w:rFonts w:hint="eastAsia" w:ascii="宋体" w:hAnsi="宋体" w:eastAsia="宋体" w:cs="宋体"/>
                <w:color w:val="auto"/>
                <w:sz w:val="24"/>
                <w:szCs w:val="24"/>
                <w:highlight w:val="none"/>
              </w:rPr>
              <w:t>类采购项目，采购标的品目号1-1对应的中小企业划分标准所属行业为“</w:t>
            </w:r>
            <w:r>
              <w:rPr>
                <w:rFonts w:hint="eastAsia" w:ascii="宋体" w:hAnsi="宋体" w:eastAsia="宋体" w:cs="宋体"/>
                <w:color w:val="auto"/>
                <w:kern w:val="0"/>
                <w:sz w:val="24"/>
                <w:szCs w:val="24"/>
                <w:highlight w:val="none"/>
                <w:lang w:val="en-US" w:eastAsia="zh-CN" w:bidi="ar"/>
              </w:rPr>
              <w:t>工业</w:t>
            </w:r>
            <w:r>
              <w:rPr>
                <w:rFonts w:hint="eastAsia" w:ascii="宋体" w:hAnsi="宋体" w:eastAsia="宋体" w:cs="宋体"/>
                <w:color w:val="auto"/>
                <w:sz w:val="24"/>
                <w:szCs w:val="24"/>
                <w:highlight w:val="none"/>
              </w:rPr>
              <w:t>”。</w:t>
            </w:r>
          </w:p>
        </w:tc>
      </w:tr>
    </w:tbl>
    <w:p>
      <w:pPr>
        <w:keepNext w:val="0"/>
        <w:keepLines w:val="0"/>
        <w:pageBreakBefore w:val="0"/>
        <w:widowControl/>
        <w:suppressLineNumbers w:val="0"/>
        <w:kinsoku/>
        <w:wordWrap/>
        <w:overflowPunct/>
        <w:topLinePunct w:val="0"/>
        <w:autoSpaceDE/>
        <w:autoSpaceDN/>
        <w:bidi w:val="0"/>
        <w:adjustRightInd/>
        <w:snapToGrid/>
        <w:spacing w:line="400" w:lineRule="exact"/>
        <w:ind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kern w:val="0"/>
          <w:sz w:val="24"/>
          <w:szCs w:val="24"/>
          <w:lang w:val="en-US" w:eastAsia="zh-CN" w:bidi="ar"/>
        </w:rPr>
        <w:t>（3）投标保证金。</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479" w:leftChars="228"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1.4有下列情形之一的，</w:t>
      </w:r>
      <w:r>
        <w:rPr>
          <w:rStyle w:val="14"/>
          <w:rFonts w:hint="eastAsia" w:ascii="宋体" w:hAnsi="宋体" w:eastAsia="宋体" w:cs="宋体"/>
          <w:b/>
          <w:bCs/>
          <w:color w:val="auto"/>
          <w:spacing w:val="0"/>
          <w:sz w:val="24"/>
          <w:szCs w:val="24"/>
        </w:rPr>
        <w:t>资格审查不合格：</w:t>
      </w:r>
      <w:r>
        <w:rPr>
          <w:rStyle w:val="14"/>
          <w:rFonts w:hint="eastAsia" w:ascii="宋体" w:hAnsi="宋体" w:eastAsia="宋体" w:cs="宋体"/>
          <w:b/>
          <w:bCs/>
          <w:color w:val="auto"/>
          <w:spacing w:val="0"/>
          <w:sz w:val="24"/>
          <w:szCs w:val="24"/>
        </w:rPr>
        <w:br w:type="textWrapping"/>
      </w:r>
      <w:r>
        <w:rPr>
          <w:rFonts w:hint="eastAsia" w:ascii="宋体" w:hAnsi="宋体" w:eastAsia="宋体" w:cs="宋体"/>
          <w:color w:val="auto"/>
          <w:sz w:val="24"/>
          <w:szCs w:val="24"/>
        </w:rPr>
        <w:t>（1）一般情形：</w:t>
      </w:r>
    </w:p>
    <w:tbl>
      <w:tblPr>
        <w:tblStyle w:val="11"/>
        <w:tblW w:w="965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6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jc w:val="center"/>
        </w:trPr>
        <w:tc>
          <w:tcPr>
            <w:tcW w:w="965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65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未按照招标文件规定提交投标函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65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65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未按照招标文件规定提交投标保证金</w:t>
            </w:r>
          </w:p>
        </w:tc>
      </w:tr>
    </w:tbl>
    <w:p>
      <w:pPr>
        <w:keepNext w:val="0"/>
        <w:keepLines w:val="0"/>
        <w:pageBreakBefore w:val="0"/>
        <w:widowControl/>
        <w:suppressLineNumbers w:val="0"/>
        <w:kinsoku/>
        <w:overflowPunct/>
        <w:topLinePunct w:val="0"/>
        <w:autoSpaceDE/>
        <w:autoSpaceDN/>
        <w:bidi w:val="0"/>
        <w:adjustRightInd/>
        <w:snapToGrid/>
        <w:spacing w:line="400" w:lineRule="exact"/>
        <w:ind w:left="0" w:right="0"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（2）本项目规定的其他情形：</w:t>
      </w: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Style w:val="14"/>
          <w:rFonts w:hint="eastAsia" w:ascii="宋体" w:hAnsi="宋体" w:eastAsia="宋体" w:cs="宋体"/>
          <w:b/>
          <w:bCs/>
          <w:color w:val="auto"/>
          <w:sz w:val="24"/>
          <w:szCs w:val="24"/>
        </w:rPr>
        <w:t>包：1</w:t>
      </w:r>
    </w:p>
    <w:tbl>
      <w:tblPr>
        <w:tblStyle w:val="11"/>
        <w:tblW w:w="965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6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965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65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在资格审查时，上传的内容中出现报价部分的全部或部分的投标报价信息</w:t>
            </w:r>
          </w:p>
        </w:tc>
      </w:tr>
    </w:tbl>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2、资格审查情况不得私自外泄，有关信息由</w:t>
      </w:r>
      <w:r>
        <w:rPr>
          <w:rFonts w:hint="eastAsia" w:ascii="宋体" w:hAnsi="宋体" w:eastAsia="宋体" w:cs="宋体"/>
          <w:color w:val="auto"/>
          <w:spacing w:val="0"/>
          <w:sz w:val="24"/>
          <w:szCs w:val="24"/>
          <w:u w:val="single"/>
        </w:rPr>
        <w:t>福建景鑫招标有限公司</w:t>
      </w:r>
      <w:r>
        <w:rPr>
          <w:rFonts w:hint="eastAsia" w:ascii="宋体" w:hAnsi="宋体" w:eastAsia="宋体" w:cs="宋体"/>
          <w:color w:val="auto"/>
          <w:spacing w:val="0"/>
          <w:sz w:val="24"/>
          <w:szCs w:val="24"/>
        </w:rPr>
        <w:t>统一对外发布。</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3、资格审查合格的投标人不足三家的，不进行评标。同时，本次采购活动结束，</w:t>
      </w:r>
      <w:r>
        <w:rPr>
          <w:rFonts w:hint="eastAsia" w:ascii="宋体" w:hAnsi="宋体" w:eastAsia="宋体" w:cs="宋体"/>
          <w:color w:val="auto"/>
          <w:spacing w:val="0"/>
          <w:sz w:val="24"/>
          <w:szCs w:val="24"/>
          <w:u w:val="single"/>
        </w:rPr>
        <w:t>福建景鑫招标有限公司</w:t>
      </w:r>
      <w:r>
        <w:rPr>
          <w:rFonts w:hint="eastAsia" w:ascii="宋体" w:hAnsi="宋体" w:eastAsia="宋体" w:cs="宋体"/>
          <w:color w:val="auto"/>
          <w:spacing w:val="0"/>
          <w:sz w:val="24"/>
          <w:szCs w:val="24"/>
        </w:rPr>
        <w:t>将依法组织后续采购活动（包括但不限于：重新招标、采用其他方式采购等）。</w:t>
      </w: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 </w:t>
      </w: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auto"/>
          <w:sz w:val="24"/>
          <w:szCs w:val="24"/>
        </w:rPr>
      </w:pPr>
      <w:r>
        <w:rPr>
          <w:rStyle w:val="14"/>
          <w:rFonts w:hint="eastAsia" w:ascii="宋体" w:hAnsi="宋体" w:eastAsia="宋体" w:cs="宋体"/>
          <w:b/>
          <w:bCs/>
          <w:color w:val="auto"/>
          <w:spacing w:val="0"/>
          <w:sz w:val="24"/>
          <w:szCs w:val="24"/>
        </w:rPr>
        <w:t>二、评标</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4、</w:t>
      </w:r>
      <w:r>
        <w:rPr>
          <w:rFonts w:hint="eastAsia" w:ascii="宋体" w:hAnsi="宋体" w:eastAsia="宋体" w:cs="宋体"/>
          <w:color w:val="auto"/>
          <w:sz w:val="24"/>
          <w:szCs w:val="24"/>
        </w:rPr>
        <w:t>资格审查结束后，由</w:t>
      </w:r>
      <w:r>
        <w:rPr>
          <w:rFonts w:hint="eastAsia" w:ascii="宋体" w:hAnsi="宋体" w:eastAsia="宋体" w:cs="宋体"/>
          <w:color w:val="auto"/>
          <w:spacing w:val="0"/>
          <w:sz w:val="24"/>
          <w:szCs w:val="24"/>
        </w:rPr>
        <w:t>福建景鑫招标有限公司负责评标委员会的组建及评标工作的组织。</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5、评标委员会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5.1评标委员会由采购人代表和评标专家两部分共</w:t>
      </w:r>
      <w:r>
        <w:rPr>
          <w:rFonts w:hint="eastAsia" w:ascii="宋体" w:hAnsi="宋体" w:eastAsia="宋体" w:cs="宋体"/>
          <w:color w:val="auto"/>
          <w:spacing w:val="0"/>
          <w:sz w:val="24"/>
          <w:szCs w:val="24"/>
          <w:u w:val="single"/>
        </w:rPr>
        <w:t>5</w:t>
      </w:r>
      <w:r>
        <w:rPr>
          <w:rFonts w:hint="eastAsia" w:ascii="宋体" w:hAnsi="宋体" w:eastAsia="宋体" w:cs="宋体"/>
          <w:color w:val="auto"/>
          <w:spacing w:val="0"/>
          <w:sz w:val="24"/>
          <w:szCs w:val="24"/>
        </w:rPr>
        <w:t>人（以下简称“评委”）组成，其中：由采购人派出的采购人代表</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人，由福建省政府采购评审专家库产生的评标专家</w:t>
      </w:r>
      <w:r>
        <w:rPr>
          <w:rFonts w:hint="eastAsia" w:ascii="宋体" w:hAnsi="宋体" w:eastAsia="宋体" w:cs="宋体"/>
          <w:color w:val="auto"/>
          <w:spacing w:val="0"/>
          <w:sz w:val="24"/>
          <w:szCs w:val="24"/>
          <w:u w:val="single"/>
        </w:rPr>
        <w:t>4</w:t>
      </w:r>
      <w:r>
        <w:rPr>
          <w:rFonts w:hint="eastAsia" w:ascii="宋体" w:hAnsi="宋体" w:eastAsia="宋体" w:cs="宋体"/>
          <w:color w:val="auto"/>
          <w:spacing w:val="0"/>
          <w:sz w:val="24"/>
          <w:szCs w:val="24"/>
        </w:rPr>
        <w:t>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5.2评标委员会负责具体评标事务，并按照下列原则依法独立履行有关职责：</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（1）评标应保护国家利益、社会公共利益和各方当事人合法权益，提高采购效益，保证项目质量。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（2）评标应遵循公平、公正、科学、严谨和择优原则。</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（3）评标的依据是招标文件和电子投标文件。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（4）应按照招标文件规定推荐中标候选人或确定中标人。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（5）评标应遵守下列评标纪律：</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①评标情况不得私自外泄，有关信息由</w:t>
      </w:r>
      <w:r>
        <w:rPr>
          <w:rFonts w:hint="eastAsia" w:ascii="宋体" w:hAnsi="宋体" w:eastAsia="宋体" w:cs="宋体"/>
          <w:color w:val="auto"/>
          <w:spacing w:val="0"/>
          <w:sz w:val="24"/>
          <w:szCs w:val="24"/>
          <w:u w:val="single"/>
        </w:rPr>
        <w:t>福建景鑫招标有限公司</w:t>
      </w:r>
      <w:r>
        <w:rPr>
          <w:rFonts w:hint="eastAsia" w:ascii="宋体" w:hAnsi="宋体" w:eastAsia="宋体" w:cs="宋体"/>
          <w:color w:val="auto"/>
          <w:spacing w:val="0"/>
          <w:sz w:val="24"/>
          <w:szCs w:val="24"/>
        </w:rPr>
        <w:t>统一对外发布。</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②对</w:t>
      </w:r>
      <w:r>
        <w:rPr>
          <w:rFonts w:hint="eastAsia" w:ascii="宋体" w:hAnsi="宋体" w:eastAsia="宋体" w:cs="宋体"/>
          <w:color w:val="auto"/>
          <w:spacing w:val="0"/>
          <w:sz w:val="24"/>
          <w:szCs w:val="24"/>
          <w:u w:val="single"/>
        </w:rPr>
        <w:t>福建景鑫招标有限公司</w:t>
      </w:r>
      <w:r>
        <w:rPr>
          <w:rFonts w:hint="eastAsia" w:ascii="宋体" w:hAnsi="宋体" w:eastAsia="宋体" w:cs="宋体"/>
          <w:color w:val="auto"/>
          <w:spacing w:val="0"/>
          <w:sz w:val="24"/>
          <w:szCs w:val="24"/>
        </w:rPr>
        <w:t>或投标人提供的要求保密的资料，不得摘记翻印和外传。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③不得收受投标人或有关人员的任何礼物，不得串联鼓动其他人袒护某投标人。若与投标人存在利害关系，则应主动声明并回避。</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④全体评委应按照招标文件规定进行评标，一切认定事项应查有实据且不得弄虚作假。</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⑤评标中应充分发扬民主，推荐中标候选人或确定中标人后要服从评标报告。</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Style w:val="14"/>
          <w:rFonts w:hint="eastAsia" w:ascii="宋体" w:hAnsi="宋体" w:eastAsia="宋体" w:cs="宋体"/>
          <w:b/>
          <w:bCs/>
          <w:color w:val="auto"/>
          <w:spacing w:val="0"/>
          <w:sz w:val="24"/>
          <w:szCs w:val="24"/>
        </w:rPr>
        <w:t>※对违反评标纪律的评委，将取消其评委资格，对评标工作造成严重损失者将予以通报批评乃至追究法律责任。</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6、评标程序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6.1评标前的准备工作</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（1）全体评委应认真审阅招标文件，了解评委应履行或遵守的职责、义务和评标纪律。</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6.2符合性审查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（1）评标委员会依据招标文件的实质性要求，对通过资格审查的电子投标文件进行符合性审查，以确定其是否满足招标文件的实质性要求。</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（2）满足招标文件的实质性要求指电子投标文件对招标文件实质性要求的响应不存在重大偏差或保留。</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（5）评标委员会对所有投标人都执行相同的程序和标准。</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（6）有下列情形之一的，</w:t>
      </w:r>
      <w:r>
        <w:rPr>
          <w:rStyle w:val="14"/>
          <w:rFonts w:hint="eastAsia" w:ascii="宋体" w:hAnsi="宋体" w:eastAsia="宋体" w:cs="宋体"/>
          <w:b/>
          <w:bCs/>
          <w:color w:val="auto"/>
          <w:spacing w:val="0"/>
          <w:sz w:val="24"/>
          <w:szCs w:val="24"/>
        </w:rPr>
        <w:t>符合性审查不合格：</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①项目一般情形：</w:t>
      </w:r>
    </w:p>
    <w:tbl>
      <w:tblPr>
        <w:tblStyle w:val="11"/>
        <w:tblW w:w="965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6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jc w:val="center"/>
        </w:trPr>
        <w:tc>
          <w:tcPr>
            <w:tcW w:w="965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65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65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65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投标文件对招标文件实质性要求的响应存在重大偏离或保留。</w:t>
            </w:r>
          </w:p>
        </w:tc>
      </w:tr>
    </w:tbl>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479" w:leftChars="228"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②本项目规定的其他情形：</w:t>
      </w:r>
      <w:r>
        <w:rPr>
          <w:rFonts w:hint="eastAsia" w:ascii="宋体" w:hAnsi="宋体" w:eastAsia="宋体" w:cs="宋体"/>
          <w:color w:val="auto"/>
          <w:spacing w:val="0"/>
          <w:sz w:val="24"/>
          <w:szCs w:val="24"/>
        </w:rPr>
        <w:br w:type="textWrapping"/>
      </w:r>
      <w:r>
        <w:rPr>
          <w:rFonts w:hint="eastAsia" w:ascii="宋体" w:hAnsi="宋体" w:eastAsia="宋体" w:cs="宋体"/>
          <w:color w:val="auto"/>
          <w:spacing w:val="0"/>
          <w:sz w:val="24"/>
          <w:szCs w:val="24"/>
        </w:rPr>
        <w:t>包：1</w:t>
      </w:r>
      <w:r>
        <w:rPr>
          <w:rFonts w:hint="eastAsia" w:ascii="宋体" w:hAnsi="宋体" w:eastAsia="宋体" w:cs="宋体"/>
          <w:color w:val="auto"/>
          <w:spacing w:val="0"/>
          <w:sz w:val="24"/>
          <w:szCs w:val="24"/>
        </w:rPr>
        <w:br w:type="textWrapping"/>
      </w:r>
      <w:r>
        <w:rPr>
          <w:rFonts w:hint="eastAsia" w:ascii="宋体" w:hAnsi="宋体" w:eastAsia="宋体" w:cs="宋体"/>
          <w:color w:val="auto"/>
          <w:spacing w:val="0"/>
          <w:sz w:val="24"/>
          <w:szCs w:val="24"/>
        </w:rPr>
        <w:t>包一般情形</w:t>
      </w:r>
    </w:p>
    <w:tbl>
      <w:tblPr>
        <w:tblStyle w:val="11"/>
        <w:tblW w:w="965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6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965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65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在技术项或商务项评审时，上传的内容中出现报价部分的全部或部分的投标报价信息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65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投标人未在投标文件中完全响应招标文件第五章招标内容及要求中“三、商务条件”全部条款的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65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不符合招标文件中规定的其它实质性要求的条款</w:t>
            </w:r>
          </w:p>
        </w:tc>
      </w:tr>
    </w:tbl>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技术符合性</w:t>
      </w:r>
    </w:p>
    <w:tbl>
      <w:tblPr>
        <w:tblStyle w:val="11"/>
        <w:tblW w:w="965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6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jc w:val="center"/>
        </w:trPr>
        <w:tc>
          <w:tcPr>
            <w:tcW w:w="965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65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在技术评审时，上传的内容中出现报价部分的全部或部分的投标报价信息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65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不符合招标文件中规定的其它实质性要求的条款</w:t>
            </w:r>
          </w:p>
        </w:tc>
      </w:tr>
    </w:tbl>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商务符合性</w:t>
      </w:r>
    </w:p>
    <w:tbl>
      <w:tblPr>
        <w:tblStyle w:val="11"/>
        <w:tblW w:w="965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6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965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65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在商务评审时，上传的内容中出现报价部分的全部或部分的投标报价信息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65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投标人未在投标文件中完全响应招标文件第五章招标内容及要求中“三、商务条件”全部条款的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65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不符合招标文件中规定的其它实质性要求的条款</w:t>
            </w:r>
          </w:p>
        </w:tc>
      </w:tr>
    </w:tbl>
    <w:p>
      <w:pPr>
        <w:keepNext w:val="0"/>
        <w:keepLines w:val="0"/>
        <w:pageBreakBefore w:val="0"/>
        <w:widowControl/>
        <w:suppressLineNumbers w:val="0"/>
        <w:kinsoku/>
        <w:wordWrap/>
        <w:overflowPunct/>
        <w:topLinePunct w:val="0"/>
        <w:autoSpaceDE/>
        <w:autoSpaceDN/>
        <w:bidi w:val="0"/>
        <w:adjustRightInd/>
        <w:snapToGrid/>
        <w:spacing w:line="400" w:lineRule="exact"/>
        <w:ind w:left="480" w:right="0" w:hanging="480" w:hangingChars="200"/>
        <w:jc w:val="left"/>
        <w:textAlignment w:val="auto"/>
        <w:rPr>
          <w:rStyle w:val="14"/>
          <w:rFonts w:hint="eastAsia" w:ascii="宋体" w:hAnsi="宋体" w:eastAsia="宋体" w:cs="宋体"/>
          <w:b/>
          <w:bCs/>
          <w:color w:val="auto"/>
          <w:kern w:val="0"/>
          <w:sz w:val="24"/>
          <w:szCs w:val="24"/>
          <w:lang w:val="en-US" w:eastAsia="zh-CN" w:bidi="ar"/>
        </w:rPr>
      </w:pPr>
      <w:r>
        <w:rPr>
          <w:rFonts w:hint="eastAsia" w:ascii="宋体" w:hAnsi="宋体" w:eastAsia="宋体" w:cs="宋体"/>
          <w:color w:val="auto"/>
          <w:kern w:val="0"/>
          <w:sz w:val="24"/>
          <w:szCs w:val="24"/>
          <w:lang w:val="en-US" w:eastAsia="zh-CN" w:bidi="ar"/>
        </w:rPr>
        <w:t>附加符合性</w:t>
      </w:r>
      <w:r>
        <w:rPr>
          <w:rFonts w:hint="eastAsia" w:ascii="宋体" w:hAnsi="宋体" w:eastAsia="宋体" w:cs="宋体"/>
          <w:color w:val="auto"/>
          <w:kern w:val="0"/>
          <w:sz w:val="24"/>
          <w:szCs w:val="24"/>
          <w:lang w:val="en-US" w:eastAsia="zh-CN" w:bidi="ar"/>
        </w:rPr>
        <w:br w:type="textWrapping"/>
      </w:r>
      <w:r>
        <w:rPr>
          <w:rStyle w:val="14"/>
          <w:rFonts w:hint="eastAsia" w:ascii="宋体" w:hAnsi="宋体" w:eastAsia="宋体" w:cs="宋体"/>
          <w:b/>
          <w:bCs/>
          <w:color w:val="auto"/>
          <w:kern w:val="0"/>
          <w:sz w:val="24"/>
          <w:szCs w:val="24"/>
          <w:lang w:val="en-US" w:eastAsia="zh-CN" w:bidi="ar"/>
        </w:rPr>
        <w:t>无</w:t>
      </w:r>
    </w:p>
    <w:p>
      <w:pPr>
        <w:keepNext w:val="0"/>
        <w:keepLines w:val="0"/>
        <w:pageBreakBefore w:val="0"/>
        <w:widowControl/>
        <w:suppressLineNumbers w:val="0"/>
        <w:kinsoku/>
        <w:wordWrap/>
        <w:overflowPunct/>
        <w:topLinePunct w:val="0"/>
        <w:autoSpaceDE/>
        <w:autoSpaceDN/>
        <w:bidi w:val="0"/>
        <w:adjustRightInd/>
        <w:snapToGrid/>
        <w:spacing w:line="400" w:lineRule="exact"/>
        <w:ind w:left="240" w:right="0" w:hanging="240" w:hangingChars="1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价格符合性</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6.3澄清有关问题</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（1）对通过符合性审查的电子投标文件中含义不明确、同类问题表述不一致或有明显文字和计算错误的内容，评标委员会将以书面形式要求投标人作出必要的澄清、说明或补正。</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（3）电子投标文件报价出现前后不一致的，除招标文件另有规定外，按照下列规定修正：</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①开标一览表内容与电子投标文件中相应内容不一致的，以开标一览表为准；</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②大写金额和小写金额不一致的，以大写金额为准；</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③单价金额小数点或百分比有明显错位的，以开标一览表的总价为准，并修改单价；</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④总价金额与按照单价汇总金额不一致的，以单价金额计算结果为准。</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Style w:val="14"/>
          <w:rFonts w:hint="eastAsia" w:ascii="宋体" w:hAnsi="宋体" w:eastAsia="宋体" w:cs="宋体"/>
          <w:b/>
          <w:bCs/>
          <w:color w:val="auto"/>
          <w:spacing w:val="0"/>
          <w:sz w:val="24"/>
          <w:szCs w:val="24"/>
        </w:rPr>
        <w:t>※同时出现两种以上不一致的，按照前款规定的顺序修正。修正后的报价应按照本章第6.3条第（1）、（2）款规定经投标人确认后产生约束力，投标人不确认的，其投标无效。</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（4）关于细微偏差</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②评标委员会将以书面形式要求存在细微偏差的投标人在评标委员会规定的时间内予以补正。若无法补正，则评标委员会将按照不利于投标人的内容进行认定。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（5）关于投标描述（即电子投标文件中描述的内容）</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①投标描述前后不一致且不涉及证明材料的：按照本章第6.3条第（1）、（2）款规定执行。</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②投标描述与证明材料不一致或多份证明材料之间不一致的：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a.评标委员会将要求投标人进行书面澄清，并按照不利于投标人的内容进行评标。</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6.4比较与评价</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（1）按照本章第7条载明的评标方法和标准，对符合性审查合格的电子投标文件进行比较与评价。</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（2）关于相同品牌产品</w:t>
      </w:r>
      <w:r>
        <w:rPr>
          <w:rStyle w:val="14"/>
          <w:rFonts w:hint="eastAsia" w:ascii="宋体" w:hAnsi="宋体" w:eastAsia="宋体" w:cs="宋体"/>
          <w:b/>
          <w:bCs/>
          <w:color w:val="auto"/>
          <w:spacing w:val="0"/>
          <w:sz w:val="24"/>
          <w:szCs w:val="24"/>
        </w:rPr>
        <w:t>（政府采购服务类项目不适用本条款规定）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a.招标文件规定的方式：</w:t>
      </w:r>
      <w:r>
        <w:rPr>
          <w:rFonts w:hint="eastAsia" w:ascii="宋体" w:hAnsi="宋体" w:eastAsia="宋体" w:cs="宋体"/>
          <w:color w:val="auto"/>
          <w:spacing w:val="0"/>
          <w:sz w:val="24"/>
          <w:szCs w:val="24"/>
          <w:u w:val="single"/>
        </w:rPr>
        <w:t>如投标人最低报价相同时，以随机抽取的方法确定中标人</w:t>
      </w:r>
      <w:r>
        <w:rPr>
          <w:rFonts w:hint="eastAsia" w:ascii="宋体" w:hAnsi="宋体" w:eastAsia="宋体" w:cs="宋体"/>
          <w:color w:val="auto"/>
          <w:spacing w:val="0"/>
          <w:sz w:val="24"/>
          <w:szCs w:val="24"/>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b.招标文件未规定的，采取随机抽取方式确定，其他</w:t>
      </w:r>
      <w:r>
        <w:rPr>
          <w:rStyle w:val="14"/>
          <w:rFonts w:hint="eastAsia" w:ascii="宋体" w:hAnsi="宋体" w:eastAsia="宋体" w:cs="宋体"/>
          <w:b/>
          <w:bCs/>
          <w:color w:val="auto"/>
          <w:spacing w:val="0"/>
          <w:sz w:val="24"/>
          <w:szCs w:val="24"/>
        </w:rPr>
        <w:t>投标无效。</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a.招标文件规定的方式：</w:t>
      </w:r>
      <w:r>
        <w:rPr>
          <w:rFonts w:hint="eastAsia" w:ascii="宋体" w:hAnsi="宋体" w:eastAsia="宋体" w:cs="宋体"/>
          <w:color w:val="auto"/>
          <w:spacing w:val="0"/>
          <w:sz w:val="24"/>
          <w:szCs w:val="24"/>
          <w:u w:val="single"/>
        </w:rPr>
        <w:t>无</w:t>
      </w:r>
      <w:r>
        <w:rPr>
          <w:rFonts w:hint="eastAsia" w:ascii="宋体" w:hAnsi="宋体" w:eastAsia="宋体" w:cs="宋体"/>
          <w:color w:val="auto"/>
          <w:spacing w:val="0"/>
          <w:sz w:val="24"/>
          <w:szCs w:val="24"/>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b.招标文件未规定的，采取随机抽取方式确定，其他同品牌投标人不作为中标候选人。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③非单一产品采购项目，多家投标人提供的核心产品品牌相同的，按照本章第6.4条第（2）款第①、②规定处理。</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（3）漏（缺）项</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①招标文件中要求列入报价的费用（含配置、功能），漏（缺）项的报价视为已经包括在投标总价中。</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②对多报项及赠送项的价格评标时不予核减，全部进入评标价评议。</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6.5推荐中标候选人：详见本章第7.2条规定。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6.6编写评标报告</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（1）评标报告由评标委员会负责编写。</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（2）评标报告应包括下列内容：</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①招标公告刊登的媒体名称、开标日期和地点；</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②投标人名单和评标委员会成员名单；</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③评标方法和标准；</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④开标记录和评标情况及说明，包括无效投标人名单及原因；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⑤评标结果，包括中标候选人名单或确定的中标人；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⑥其他需要说明的情况，包括但不限于：评标过程中投标人的澄清、说明或补正，评委更换等。</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14"/>
          <w:rFonts w:hint="eastAsia" w:ascii="宋体" w:hAnsi="宋体" w:eastAsia="宋体" w:cs="宋体"/>
          <w:b/>
          <w:bCs/>
          <w:color w:val="auto"/>
          <w:spacing w:val="0"/>
          <w:sz w:val="24"/>
          <w:szCs w:val="24"/>
        </w:rPr>
        <w:t>投标无效</w:t>
      </w:r>
      <w:r>
        <w:rPr>
          <w:rFonts w:hint="eastAsia" w:ascii="宋体" w:hAnsi="宋体" w:eastAsia="宋体" w:cs="宋体"/>
          <w:color w:val="auto"/>
          <w:spacing w:val="0"/>
          <w:sz w:val="24"/>
          <w:szCs w:val="24"/>
        </w:rPr>
        <w:t>处理。</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6.8评委对需要共同认定的事项存在争议的，应按照少数服从多数的原则进行认定。</w:t>
      </w:r>
      <w:r>
        <w:rPr>
          <w:rStyle w:val="14"/>
          <w:rFonts w:hint="eastAsia" w:ascii="宋体" w:hAnsi="宋体" w:eastAsia="宋体" w:cs="宋体"/>
          <w:b/>
          <w:bCs/>
          <w:color w:val="auto"/>
          <w:spacing w:val="0"/>
          <w:sz w:val="24"/>
          <w:szCs w:val="24"/>
        </w:rPr>
        <w:t>持不同意见的评委应在评标报告上签署不同意见及理由，否则视为同意评标报告。</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6.9在评标过程中发现投标人有下列情形之一的，评标委员会应认定其</w:t>
      </w:r>
      <w:r>
        <w:rPr>
          <w:rStyle w:val="14"/>
          <w:rFonts w:hint="eastAsia" w:ascii="宋体" w:hAnsi="宋体" w:eastAsia="宋体" w:cs="宋体"/>
          <w:b/>
          <w:bCs/>
          <w:color w:val="auto"/>
          <w:spacing w:val="0"/>
          <w:sz w:val="24"/>
          <w:szCs w:val="24"/>
        </w:rPr>
        <w:t>投标无效</w:t>
      </w:r>
      <w:r>
        <w:rPr>
          <w:rFonts w:hint="eastAsia" w:ascii="宋体" w:hAnsi="宋体" w:eastAsia="宋体" w:cs="宋体"/>
          <w:color w:val="auto"/>
          <w:spacing w:val="0"/>
          <w:sz w:val="24"/>
          <w:szCs w:val="24"/>
        </w:rPr>
        <w:t>，并书面报告本项目监督管理部门：</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（1）恶意串通（包括但不限于招标文件第三章第9.7条规定情形）；</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（2）妨碍其他投标人的竞争行为；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（3）损害采购人或其他投标人的合法权益。</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6.10评标过程中，有下列情形之一的，应予废标：</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（1）符合性审查合格的投标人不足三家的；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（2）有关法律、法规和规章规定废标的情形。</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Style w:val="14"/>
          <w:rFonts w:hint="eastAsia" w:ascii="宋体" w:hAnsi="宋体" w:eastAsia="宋体" w:cs="宋体"/>
          <w:b/>
          <w:bCs/>
          <w:color w:val="auto"/>
          <w:spacing w:val="0"/>
          <w:sz w:val="24"/>
          <w:szCs w:val="24"/>
        </w:rPr>
        <w:t>※若废标，则本次采购活动结束，</w:t>
      </w:r>
      <w:r>
        <w:rPr>
          <w:rFonts w:hint="eastAsia" w:ascii="宋体" w:hAnsi="宋体" w:eastAsia="宋体" w:cs="宋体"/>
          <w:color w:val="auto"/>
          <w:spacing w:val="0"/>
          <w:sz w:val="24"/>
          <w:szCs w:val="24"/>
          <w:u w:val="single"/>
        </w:rPr>
        <w:t>福建景鑫招标有限公司</w:t>
      </w:r>
      <w:r>
        <w:rPr>
          <w:rStyle w:val="14"/>
          <w:rFonts w:hint="eastAsia" w:ascii="宋体" w:hAnsi="宋体" w:eastAsia="宋体" w:cs="宋体"/>
          <w:b/>
          <w:bCs/>
          <w:color w:val="auto"/>
          <w:spacing w:val="0"/>
          <w:sz w:val="24"/>
          <w:szCs w:val="24"/>
        </w:rPr>
        <w:t>将依法组织后续采购活动（包括但不限于：重新招标、采用其他方式采购等）。</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7、评标方法和标准</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7.1评标方法： 项目包1采用最低评标价法。</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7.2评标标准</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Style w:val="14"/>
          <w:rFonts w:hint="eastAsia" w:ascii="宋体" w:hAnsi="宋体" w:eastAsia="宋体" w:cs="宋体"/>
          <w:b/>
          <w:bCs/>
          <w:color w:val="auto"/>
          <w:sz w:val="24"/>
          <w:szCs w:val="24"/>
          <w:shd w:val="clear" w:fill="FFFFFF"/>
        </w:rPr>
        <w:t>采购包1采用最低评标价法</w:t>
      </w:r>
      <w:r>
        <w:rPr>
          <w:rFonts w:hint="eastAsia" w:ascii="宋体" w:hAnsi="宋体" w:eastAsia="宋体" w:cs="宋体"/>
          <w:color w:val="auto"/>
          <w:sz w:val="24"/>
          <w:szCs w:val="24"/>
          <w:shd w:val="clear" w:fill="FFFFFF"/>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（1）投标文件满足招标文件全部实质性要求，且投标报价最低的投标人为中标候选人。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（2）价格扣除的规则如下：</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a.优先类节能产品、环境标志产品：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1若同一采购包内节能、环境标志产品报价总金额低于该采购包报价总金额10%（含10%）以下，将给予节能、环境标志产品每个单项报价3%的价格扣除；若同一采购包内节能、环境标志产品报价总金额占该采购包报价总金额10%-30%（含30%），将给予节能、环境标志产品每个单项报价6%的价格扣除；若同一采购包内节能、环境标志产品报价总金额占该采购包报价总金额30%-50%（含50%），将给予节能、环境标志产品每个单项报价8%的价格扣除；若同一采购包内节能、环境标志产品报价总金额超过该采购包报价总金额50%以上，将给予节能、环境标志产品每个单项报价10%的价格扣除。</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a2若节能、环境标志产品仅是构成投标产品的部件、组件或零件，则该投标产品不享受鼓励优惠政策。同一品目中各认证证书不重复计算价格扣除。强制类节能产品不享受价格扣除。</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b.小型、微型企业产品等：</w:t>
      </w:r>
    </w:p>
    <w:tbl>
      <w:tblPr>
        <w:tblStyle w:val="11"/>
        <w:tblW w:w="964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878"/>
        <w:gridCol w:w="77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87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评标项目</w:t>
            </w:r>
          </w:p>
        </w:tc>
        <w:tc>
          <w:tcPr>
            <w:tcW w:w="776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评标方法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87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小型、微型企业，监狱企业，残疾人</w:t>
            </w:r>
          </w:p>
        </w:tc>
        <w:tc>
          <w:tcPr>
            <w:tcW w:w="776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b w:val="0"/>
                <w:bCs w:val="0"/>
                <w:color w:val="auto"/>
                <w:sz w:val="24"/>
                <w:szCs w:val="24"/>
                <w:highlight w:val="none"/>
              </w:rPr>
            </w:pPr>
            <w:r>
              <w:rPr>
                <w:rStyle w:val="14"/>
                <w:rFonts w:hint="eastAsia" w:ascii="宋体" w:hAnsi="宋体" w:eastAsia="宋体" w:cs="宋体"/>
                <w:b w:val="0"/>
                <w:bCs w:val="0"/>
                <w:color w:val="auto"/>
                <w:kern w:val="0"/>
                <w:sz w:val="24"/>
                <w:szCs w:val="24"/>
                <w:highlight w:val="none"/>
                <w:lang w:val="en-US" w:eastAsia="zh-CN" w:bidi="ar"/>
              </w:rPr>
              <w:t>（1）本项目专门面向符合财政部、工信部文件（财库〔2020〕46号）规定的中、小、微企业采购。故本项目不再执行此项评审优惠政策。（2）投标人须在此节点上传投标文件报价部分。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87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bidi="ar"/>
              </w:rPr>
              <w:t>节能产品</w:t>
            </w:r>
          </w:p>
        </w:tc>
        <w:tc>
          <w:tcPr>
            <w:tcW w:w="776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b w:val="0"/>
                <w:bCs w:val="0"/>
                <w:color w:val="auto"/>
                <w:sz w:val="24"/>
                <w:szCs w:val="24"/>
              </w:rPr>
            </w:pPr>
            <w:r>
              <w:rPr>
                <w:rStyle w:val="14"/>
                <w:rFonts w:hint="eastAsia" w:ascii="宋体" w:hAnsi="宋体" w:eastAsia="宋体" w:cs="宋体"/>
                <w:b w:val="0"/>
                <w:bCs w:val="0"/>
                <w:color w:val="auto"/>
                <w:kern w:val="0"/>
                <w:sz w:val="24"/>
                <w:szCs w:val="24"/>
                <w:lang w:val="en-US" w:eastAsia="zh-CN" w:bidi="ar"/>
              </w:rPr>
              <w:t>(1)执行财政部 发展改革委 生态环境部 市场监管总局印发《关于调整优化节能产品、环境标志产品政府采购执行机制的通知》(财库〔2019〕9号)。 (2) 节能(非强制类产品)、环境标志产品评审优惠内容及幅度如下： ①、若同一采购包内节能、环境标志产品报价总金额低于本采购包报价总金额10%(含10%)以下的，将给予节能、环境标志产品每个单项报价3%的价格扣除； ②、若同一采购包内节能、环境标志产品报价总金额占本采购包报价总金额10%-30%(含30%)的，将给予节能、环境标志产品每个单项报价6%的价格扣除； ③、若同一采购包内节能、环境标志产品报价总金额占本采购包报价总金额30%-50%(含50%)的，将给予节能、环境标志产品每个单项报价8%的价格扣除； ④、若同一采购包内节能、环境标志产品报价总金额超过本采购包报价总金额50%以上的,将给予节能、环境标志产品每个单项报价10%的价格扣除。 (2)对于同时属于环境标志和节能的产品，应当优先于只获得其中一项认证的产品。投标人在投标时必须对属于节能、环境标志产品单独在节能(非强制类)、环境标志产品统计表中填写，并提供产品的证明资料复印件附在报价部分且加盖投标人公章。未单独分项报价或未按规定提供属于证明资料的不给予价格扣除。投标产品属于节能、环境标志产品的，可享受相关的鼓励优惠政策；若节能、环境标志产品仅是构成投标产品的部件、组件或零件的，则该投标产品不享受鼓励优惠政策。评标委员会审查此项响应性只根据投标文件本身的内容，而不寻求其他的外部证据。(本文件中其他有关附加部分评审中节能、环境标志产品描述情况与此处不一致，以此处为准)</w:t>
            </w:r>
          </w:p>
        </w:tc>
      </w:tr>
    </w:tbl>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c.其他：无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Style w:val="14"/>
          <w:rFonts w:hint="eastAsia" w:ascii="宋体" w:hAnsi="宋体" w:eastAsia="宋体" w:cs="宋体"/>
          <w:b/>
          <w:bCs/>
          <w:color w:val="auto"/>
          <w:sz w:val="24"/>
          <w:szCs w:val="24"/>
        </w:rPr>
        <w:t>※除本章第6.3条第（3）款规定情形和落实政府采购政策需进行的价格扣除情形外，不能对投标人的投标报价进行任何调整。</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（3）中标候选人排列规则顺序如下：</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a.按照评标价（即价格扣除后的投标报价）由低到高顺序排列。</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b.评标价相同的并列。</w:t>
      </w:r>
      <w:r>
        <w:rPr>
          <w:rFonts w:hint="eastAsia" w:ascii="宋体" w:hAnsi="宋体" w:eastAsia="宋体" w:cs="宋体"/>
          <w:color w:val="auto"/>
          <w:spacing w:val="0"/>
          <w:sz w:val="24"/>
          <w:szCs w:val="24"/>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8、其他规定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8.1评标应全程保密且不得透露给任一投标人或与评标工作无关的人员。</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8.2评标将进行全程实时录音录像，录音录像资料随采购文件一并存档。</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8.3若投标人有任何试图干扰具体评标事务，影响评标委员会独立履行职责的行为，其投标无效且不予退还投标保证金。情节严重的，由财政部门列入不良行为记录。</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8.4其他：无</w:t>
      </w:r>
    </w:p>
    <w:p>
      <w:pP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br w:type="page"/>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宋体" w:hAnsi="宋体" w:eastAsia="宋体" w:cs="宋体"/>
          <w:color w:val="auto"/>
          <w:sz w:val="32"/>
          <w:szCs w:val="32"/>
        </w:rPr>
      </w:pPr>
      <w:r>
        <w:rPr>
          <w:rStyle w:val="14"/>
          <w:rFonts w:hint="eastAsia" w:ascii="宋体" w:hAnsi="宋体" w:eastAsia="宋体" w:cs="宋体"/>
          <w:b/>
          <w:bCs/>
          <w:color w:val="auto"/>
          <w:spacing w:val="0"/>
          <w:sz w:val="32"/>
          <w:szCs w:val="32"/>
        </w:rPr>
        <w:t>第五章   招标内容及要求</w:t>
      </w: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一、项目概况（采购标的）</w:t>
      </w: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pacing w:val="0"/>
          <w:sz w:val="24"/>
          <w:szCs w:val="24"/>
          <w:shd w:val="clear" w:fill="FFFFFF"/>
        </w:rPr>
      </w:pPr>
      <w:r>
        <w:rPr>
          <w:rFonts w:hint="eastAsia" w:ascii="宋体" w:hAnsi="宋体" w:eastAsia="宋体" w:cs="宋体"/>
          <w:color w:val="auto"/>
          <w:spacing w:val="0"/>
          <w:sz w:val="24"/>
          <w:szCs w:val="24"/>
          <w:shd w:val="clear" w:fill="FFFFFF"/>
        </w:rPr>
        <w:t>1.1受武夷学院的委托，对武夷学院电力参数测量与电子实验设备更新采购项目进行国内公开招标。</w:t>
      </w: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default" w:ascii="宋体" w:hAnsi="宋体" w:eastAsia="宋体" w:cs="宋体"/>
          <w:b/>
          <w:bCs w:val="0"/>
          <w:color w:val="FF0000"/>
          <w:spacing w:val="0"/>
          <w:sz w:val="24"/>
          <w:szCs w:val="24"/>
          <w:highlight w:val="yellow"/>
          <w:shd w:val="clear" w:fill="FFFFFF"/>
          <w:lang w:val="en-US" w:eastAsia="zh-CN"/>
        </w:rPr>
      </w:pPr>
      <w:r>
        <w:rPr>
          <w:rFonts w:hint="eastAsia" w:ascii="宋体" w:hAnsi="宋体" w:eastAsia="宋体" w:cs="宋体"/>
          <w:b/>
          <w:bCs w:val="0"/>
          <w:color w:val="auto"/>
          <w:sz w:val="24"/>
          <w:szCs w:val="24"/>
          <w:lang w:val="en-US" w:eastAsia="zh-CN"/>
        </w:rPr>
        <w:t>1.2本次采购项目采购包1核心产品为：7：</w:t>
      </w:r>
      <w:r>
        <w:rPr>
          <w:rFonts w:hint="eastAsia" w:ascii="宋体" w:hAnsi="宋体" w:eastAsia="宋体" w:cs="宋体"/>
          <w:b/>
          <w:bCs w:val="0"/>
          <w:color w:val="auto"/>
          <w:sz w:val="24"/>
          <w:szCs w:val="24"/>
        </w:rPr>
        <w:t>电力系统动态模拟实验系统</w:t>
      </w:r>
      <w:r>
        <w:rPr>
          <w:rFonts w:hint="eastAsia" w:ascii="宋体" w:hAnsi="宋体" w:eastAsia="宋体" w:cs="宋体"/>
          <w:b/>
          <w:bCs w:val="0"/>
          <w:color w:val="auto"/>
          <w:sz w:val="24"/>
          <w:szCs w:val="24"/>
          <w:lang w:val="en-US" w:eastAsia="zh-CN"/>
        </w:rPr>
        <w:t>。</w:t>
      </w:r>
    </w:p>
    <w:p>
      <w:pPr>
        <w:pStyle w:val="10"/>
        <w:keepNext w:val="0"/>
        <w:keepLines w:val="0"/>
        <w:pageBreakBefore w:val="0"/>
        <w:widowControl/>
        <w:numPr>
          <w:ilvl w:val="0"/>
          <w:numId w:val="1"/>
        </w:numPr>
        <w:suppressLineNumbers w:val="0"/>
        <w:kinsoku/>
        <w:overflowPunct/>
        <w:topLinePunct w:val="0"/>
        <w:autoSpaceDE/>
        <w:autoSpaceDN/>
        <w:bidi w:val="0"/>
        <w:adjustRightInd/>
        <w:snapToGrid/>
        <w:spacing w:before="0" w:beforeAutospacing="0" w:after="0" w:afterAutospacing="0" w:line="400" w:lineRule="exact"/>
        <w:ind w:left="0" w:right="0" w:firstLine="0"/>
        <w:jc w:val="left"/>
        <w:textAlignment w:val="auto"/>
        <w:rPr>
          <w:rStyle w:val="14"/>
          <w:rFonts w:hint="eastAsia" w:ascii="宋体" w:hAnsi="宋体" w:eastAsia="宋体" w:cs="宋体"/>
          <w:b/>
          <w:bCs/>
          <w:color w:val="auto"/>
          <w:spacing w:val="0"/>
          <w:sz w:val="24"/>
          <w:szCs w:val="24"/>
        </w:rPr>
      </w:pPr>
      <w:r>
        <w:rPr>
          <w:rFonts w:hint="eastAsia" w:ascii="宋体" w:hAnsi="宋体" w:eastAsia="宋体" w:cs="宋体"/>
          <w:color w:val="auto"/>
          <w:spacing w:val="0"/>
          <w:sz w:val="24"/>
          <w:szCs w:val="24"/>
        </w:rPr>
        <w:t>技术和服务要求</w:t>
      </w:r>
      <w:r>
        <w:rPr>
          <w:rStyle w:val="14"/>
          <w:rFonts w:hint="eastAsia" w:ascii="宋体" w:hAnsi="宋体" w:eastAsia="宋体" w:cs="宋体"/>
          <w:b/>
          <w:bCs/>
          <w:color w:val="auto"/>
          <w:spacing w:val="0"/>
          <w:sz w:val="24"/>
          <w:szCs w:val="24"/>
        </w:rPr>
        <w:t>（以“★”标示的内容为不允许负偏离的实质性要求）</w:t>
      </w:r>
    </w:p>
    <w:tbl>
      <w:tblPr>
        <w:tblStyle w:val="11"/>
        <w:tblW w:w="9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15"/>
        <w:gridCol w:w="6465"/>
        <w:gridCol w:w="765"/>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10" w:type="dxa"/>
            <w:vAlign w:val="center"/>
          </w:tcPr>
          <w:p>
            <w:pPr>
              <w:pStyle w:val="15"/>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序号</w:t>
            </w:r>
          </w:p>
        </w:tc>
        <w:tc>
          <w:tcPr>
            <w:tcW w:w="915" w:type="dxa"/>
            <w:vAlign w:val="center"/>
          </w:tcPr>
          <w:p>
            <w:pPr>
              <w:pStyle w:val="15"/>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名称</w:t>
            </w:r>
          </w:p>
        </w:tc>
        <w:tc>
          <w:tcPr>
            <w:tcW w:w="6465" w:type="dxa"/>
            <w:vAlign w:val="center"/>
          </w:tcPr>
          <w:p>
            <w:pPr>
              <w:pStyle w:val="15"/>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lang w:eastAsia="zh-CN"/>
              </w:rPr>
              <w:t>技术参数</w:t>
            </w:r>
          </w:p>
          <w:p>
            <w:pPr>
              <w:pStyle w:val="15"/>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val="0"/>
                <w:color w:val="auto"/>
                <w:sz w:val="24"/>
                <w:szCs w:val="24"/>
                <w:lang w:eastAsia="zh-CN"/>
              </w:rPr>
            </w:pPr>
            <w:r>
              <w:rPr>
                <w:rFonts w:hint="eastAsia" w:ascii="宋体" w:hAnsi="宋体" w:eastAsia="宋体" w:cs="宋体"/>
                <w:b w:val="0"/>
                <w:bCs/>
                <w:color w:val="auto"/>
                <w:sz w:val="24"/>
                <w:szCs w:val="24"/>
              </w:rPr>
              <w:t>（以下技术参数中未标注范围值的允许正负偏离</w:t>
            </w: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rPr>
              <w:t>%）</w:t>
            </w:r>
          </w:p>
        </w:tc>
        <w:tc>
          <w:tcPr>
            <w:tcW w:w="765" w:type="dxa"/>
            <w:vAlign w:val="center"/>
          </w:tcPr>
          <w:p>
            <w:pPr>
              <w:pStyle w:val="15"/>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宋体" w:hAnsi="宋体" w:eastAsia="宋体" w:cs="宋体"/>
                <w:b w:val="0"/>
                <w:bCs/>
                <w:color w:val="auto"/>
                <w:sz w:val="24"/>
                <w:szCs w:val="24"/>
              </w:rPr>
            </w:pPr>
            <w:r>
              <w:rPr>
                <w:rFonts w:hint="eastAsia" w:ascii="宋体" w:hAnsi="宋体" w:eastAsia="宋体" w:cs="宋体"/>
                <w:b/>
                <w:bCs w:val="0"/>
                <w:color w:val="auto"/>
                <w:sz w:val="24"/>
                <w:szCs w:val="24"/>
              </w:rPr>
              <w:t>数量</w:t>
            </w:r>
          </w:p>
        </w:tc>
        <w:tc>
          <w:tcPr>
            <w:tcW w:w="768" w:type="dxa"/>
            <w:vAlign w:val="center"/>
          </w:tcPr>
          <w:p>
            <w:pPr>
              <w:pStyle w:val="15"/>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10" w:type="dxa"/>
            <w:vAlign w:val="center"/>
          </w:tcPr>
          <w:p>
            <w:pPr>
              <w:pStyle w:val="15"/>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w:t>
            </w:r>
          </w:p>
        </w:tc>
        <w:tc>
          <w:tcPr>
            <w:tcW w:w="91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高分辨率示波器</w:t>
            </w:r>
          </w:p>
        </w:tc>
        <w:tc>
          <w:tcPr>
            <w:tcW w:w="6465" w:type="dxa"/>
            <w:vAlign w:val="center"/>
          </w:tcPr>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（1）模拟带宽2GHz；4路模拟通道+EXT通道；基于12位模拟数字转换器，垂直分辨率为12bit，等效增强分辨率可达15-bit；每通道标配一根500M探头共四根，另配一根2.5G单端有源探头。</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（2）四通道全部开启每通道10GSa/s实时采样率</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（3）不小于12英寸TFT-LCD显示屏且支持电容触摸功能</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（4）存储深度不小于450Mpts</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（5）垂直档位500uV/div ~ 10V/div；直流增益精度可达1.5%；</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（6）波形捕获率可达720,000帧/秒；</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（7）不小于78,000段分段存储，以非常小的死区时间分段捕获符合条件的事件；可记录不小于78,000帧历史波形。</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（8）支持边沿、斜率、脉宽、窗口、欠幅、超时、码型、视频、前提边沿、第N边沿、延迟、建立/保持时间等触发类型及区域触发。</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（9）标配IIC, SPI, CAN,LIN,UART/ RS232触发及解码； 可选配CANFD、IIS、FlexRay、MIL-STD-1553B、SENT触发及解码功能</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（10）大于7.5M点快速傅里叶变换数据分析并支持自动标志峰值功能。</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（11）支持波形搜索与导航功能并配备实体按键。</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（12）支持眼图与抖动分析</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（13）标配波特图功能，实现电源环路响应测试。</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（14）支持电源功率分析</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（15）支持最小、最大、标准方差、直方图和趋势图等统计；支持门限测试，实现屏幕内自由测量。以及4路独立波形运算和嵌套运算。</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（16）基于硬件实现的模板测试功能</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（17）丰富的SCPI远程控制指令</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（18）内嵌Web Server，无需安装特殊的驱动和上位机软件，通过浏览器即可对仪器进行远程控制、观察波形，获取测量结果</w:t>
            </w:r>
          </w:p>
          <w:p>
            <w:pPr>
              <w:pStyle w:val="7"/>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b w:val="0"/>
                <w:bCs/>
                <w:color w:val="auto"/>
                <w:sz w:val="24"/>
                <w:szCs w:val="24"/>
              </w:rPr>
            </w:pPr>
            <w:r>
              <w:rPr>
                <w:rFonts w:hint="eastAsia" w:ascii="宋体" w:hAnsi="宋体" w:eastAsia="宋体" w:cs="宋体"/>
                <w:sz w:val="24"/>
                <w:szCs w:val="24"/>
              </w:rPr>
              <w:t>（19）提供丰富的外围接口：USB3.0 /2.0,USB Device, LAN, Pass/Fail, Trigger Out，HDMI等并支持外接鼠标键盘</w:t>
            </w:r>
          </w:p>
        </w:tc>
        <w:tc>
          <w:tcPr>
            <w:tcW w:w="765" w:type="dxa"/>
            <w:vAlign w:val="center"/>
          </w:tcPr>
          <w:p>
            <w:pPr>
              <w:pStyle w:val="7"/>
              <w:keepNext w:val="0"/>
              <w:keepLines w:val="0"/>
              <w:pageBreakBefore w:val="0"/>
              <w:kinsoku/>
              <w:wordWrap/>
              <w:overflowPunct/>
              <w:topLinePunct w:val="0"/>
              <w:autoSpaceDE/>
              <w:autoSpaceDN/>
              <w:bidi w:val="0"/>
              <w:adjustRightInd/>
              <w:snapToGrid/>
              <w:spacing w:line="400" w:lineRule="exact"/>
              <w:ind w:firstLine="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w:t>
            </w:r>
          </w:p>
        </w:tc>
        <w:tc>
          <w:tcPr>
            <w:tcW w:w="768" w:type="dxa"/>
            <w:vAlign w:val="center"/>
          </w:tcPr>
          <w:p>
            <w:pPr>
              <w:pStyle w:val="7"/>
              <w:keepNext w:val="0"/>
              <w:keepLines w:val="0"/>
              <w:pageBreakBefore w:val="0"/>
              <w:kinsoku/>
              <w:wordWrap/>
              <w:overflowPunct/>
              <w:topLinePunct w:val="0"/>
              <w:autoSpaceDE/>
              <w:autoSpaceDN/>
              <w:bidi w:val="0"/>
              <w:adjustRightInd/>
              <w:snapToGrid/>
              <w:spacing w:line="400" w:lineRule="exact"/>
              <w:ind w:firstLine="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10" w:type="dxa"/>
            <w:vAlign w:val="center"/>
          </w:tcPr>
          <w:p>
            <w:pPr>
              <w:pStyle w:val="15"/>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w:t>
            </w:r>
          </w:p>
        </w:tc>
        <w:tc>
          <w:tcPr>
            <w:tcW w:w="91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电流探头</w:t>
            </w:r>
          </w:p>
        </w:tc>
        <w:tc>
          <w:tcPr>
            <w:tcW w:w="6465" w:type="dxa"/>
            <w:vAlign w:val="center"/>
          </w:tcPr>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（1）最大连续电流500Arms</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（2）带宽5MHz</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（3）峰值电流750A</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（4）转换比例：100mV/A、10mV/A</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（5）交直流测量精度：100mV/A (±1%±10mA)，10mV/A (±1%±100mA)</w:t>
            </w:r>
          </w:p>
          <w:p>
            <w:pPr>
              <w:pStyle w:val="7"/>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b w:val="0"/>
                <w:bCs/>
                <w:color w:val="auto"/>
                <w:sz w:val="24"/>
                <w:szCs w:val="24"/>
              </w:rPr>
            </w:pPr>
            <w:r>
              <w:rPr>
                <w:rFonts w:hint="eastAsia" w:ascii="宋体" w:hAnsi="宋体" w:eastAsia="宋体" w:cs="宋体"/>
                <w:sz w:val="24"/>
                <w:szCs w:val="24"/>
              </w:rPr>
              <w:t>（6）标配 DC12V/1.2A 电源适配器</w:t>
            </w:r>
          </w:p>
        </w:tc>
        <w:tc>
          <w:tcPr>
            <w:tcW w:w="765" w:type="dxa"/>
            <w:vAlign w:val="center"/>
          </w:tcPr>
          <w:p>
            <w:pPr>
              <w:pStyle w:val="7"/>
              <w:keepNext w:val="0"/>
              <w:keepLines w:val="0"/>
              <w:pageBreakBefore w:val="0"/>
              <w:kinsoku/>
              <w:wordWrap/>
              <w:overflowPunct/>
              <w:topLinePunct w:val="0"/>
              <w:autoSpaceDE/>
              <w:autoSpaceDN/>
              <w:bidi w:val="0"/>
              <w:adjustRightInd/>
              <w:snapToGrid/>
              <w:spacing w:line="400" w:lineRule="exact"/>
              <w:ind w:firstLine="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w:t>
            </w:r>
          </w:p>
        </w:tc>
        <w:tc>
          <w:tcPr>
            <w:tcW w:w="76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10" w:type="dxa"/>
            <w:vAlign w:val="center"/>
          </w:tcPr>
          <w:p>
            <w:pPr>
              <w:pStyle w:val="15"/>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w:t>
            </w:r>
          </w:p>
        </w:tc>
        <w:tc>
          <w:tcPr>
            <w:tcW w:w="91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三相电能质量分析仪</w:t>
            </w:r>
          </w:p>
        </w:tc>
        <w:tc>
          <w:tcPr>
            <w:tcW w:w="6465" w:type="dxa"/>
            <w:vAlign w:val="center"/>
          </w:tcPr>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（1）电压(AC)：0.1V</w:t>
            </w:r>
            <w:r>
              <w:rPr>
                <w:rFonts w:hint="eastAsia" w:ascii="宋体" w:hAnsi="宋体" w:eastAsia="宋体" w:cs="宋体"/>
                <w:sz w:val="24"/>
                <w:szCs w:val="24"/>
              </w:rPr>
              <w:softHyphen/>
            </w:r>
            <w:r>
              <w:rPr>
                <w:rFonts w:hint="eastAsia" w:ascii="宋体" w:hAnsi="宋体" w:eastAsia="宋体" w:cs="宋体"/>
                <w:sz w:val="24"/>
                <w:szCs w:val="24"/>
              </w:rPr>
              <w:t>---1000V，精度：±0.1% ，分辨率：0.1V</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（2）电流（AC）：0.01A---1000A，精度：±1% ，分辨率：0.01A</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（3）相位:0.1度---359.99度，精度：±0.1度，分辨率：0.01度</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（4）频率：45.00---65.00Hz，精度：±0.01 Hz，分辨率：0.001 Hz</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（5）功率：9000KW，精度：± 1%，分辨率：0.1W</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（6）功率因素： -1～+1，精度：±0.1%，分辨率：0.01</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（7）相位角：0～360°，精度：1°，分辨率：1°</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（8）谐波：0---50次 ，精度：A级，分辨率：0.01V</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（9）间谐波：0---50次 ，精度：A级，分辨率：0.01V</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（10）电压不平衡度：0---20% ，精度：±0.2% ，分辨率：0.01%</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（11）电流不平衡度：0---20%，精度：±1% ，分辨率：0.01%</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（12）闪变：0.00---20.00，精度：±5%，分辨率：0.01</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（13）骤升/骤降/中断， 精度：±0.1V，分辨率：0.01V</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（14）谐波电压相对值%f：0～100% ，精度：±0.1%</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（15）谐波电压相对值%r：0～100% ，精度：±0.1%</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（16）谐波电压绝对值：0～1000，精度：±5%</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（17）电压THD: 0～100%，精度：±2.5%</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（18）谐波电流相对值%f：0～100%，精度：±0.1%</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（19）谐波电流相对值%r：0～100%，精度：±0.1%</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（20）谐波电流绝对值：0～1000，精度：±5%</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（21）电流THD: 0～100%，精度：±2.5%</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（22）谐波功率相对值（%for%r）：0～100% ，精度：±n×2%</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（23）谐波功率绝对值取决于量程，精度：±5%±n×2%</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（24）功率THD: 0～100%，精度：±5%</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（25）具有数据记录功能，记录间隔可设，保存间隔内的最大、最小、平均值</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（26）多种事件自动捕获，阈值可设，记录详细的触发波形和事件特征。</w:t>
            </w:r>
          </w:p>
          <w:p>
            <w:pPr>
              <w:pStyle w:val="10"/>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（27）越限项目包括:DIP,INT,SWL,RTA,AMP,WDEV,FRQ,UNB,FLK, Hx,VCHG,ICHG,VTHD,ITHD, VNEG,VZERO,100%概率上限越限，100%概率下限越限，x%概率上限越限, x%概率下限越限,向上变化事件，向下变化事件。</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（28）采用万用拔轮操作，在菜单选择，参数选择，参数设置带来极大的便利。</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（29）在操作键盘上设有功能快捷按键：如波形图，条形图,趋势图等可一键进入</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（30）屏幕不小于5英寸，分辨率不小于640*480</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（31）具有任务管理功能：可预先归划任务列表，测量项目，测量启动/停止时间，适用于自动在线测量或无人值守测量。</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（32）可交流适配器供电或内置锂电池供电（续航时长7小时）</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（33）满足GB系列国家电能质量标准的全面电能质量监测</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（34）电能质量精度符合DL/T1028-2006≤电能质量测试试分析仪检定规程≥</w:t>
            </w:r>
          </w:p>
          <w:p>
            <w:pPr>
              <w:pStyle w:val="7"/>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b w:val="0"/>
                <w:bCs/>
                <w:color w:val="auto"/>
                <w:sz w:val="24"/>
                <w:szCs w:val="24"/>
              </w:rPr>
            </w:pPr>
            <w:r>
              <w:rPr>
                <w:rFonts w:hint="eastAsia" w:ascii="宋体" w:hAnsi="宋体" w:eastAsia="宋体" w:cs="宋体"/>
                <w:sz w:val="24"/>
                <w:szCs w:val="24"/>
              </w:rPr>
              <w:t>（35）进行三相测量（三相三线，三相四线），标配4个柔性电流钳4支电压测试线。</w:t>
            </w:r>
          </w:p>
        </w:tc>
        <w:tc>
          <w:tcPr>
            <w:tcW w:w="765" w:type="dxa"/>
            <w:vAlign w:val="center"/>
          </w:tcPr>
          <w:p>
            <w:pPr>
              <w:pStyle w:val="7"/>
              <w:keepNext w:val="0"/>
              <w:keepLines w:val="0"/>
              <w:pageBreakBefore w:val="0"/>
              <w:kinsoku/>
              <w:wordWrap/>
              <w:overflowPunct/>
              <w:topLinePunct w:val="0"/>
              <w:autoSpaceDE/>
              <w:autoSpaceDN/>
              <w:bidi w:val="0"/>
              <w:adjustRightInd/>
              <w:snapToGrid/>
              <w:spacing w:line="400" w:lineRule="exact"/>
              <w:ind w:firstLine="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w:t>
            </w:r>
          </w:p>
        </w:tc>
        <w:tc>
          <w:tcPr>
            <w:tcW w:w="76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0" w:type="dxa"/>
            <w:vAlign w:val="center"/>
          </w:tcPr>
          <w:p>
            <w:pPr>
              <w:pStyle w:val="15"/>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w:t>
            </w:r>
          </w:p>
        </w:tc>
        <w:tc>
          <w:tcPr>
            <w:tcW w:w="91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功率分析仪</w:t>
            </w:r>
          </w:p>
        </w:tc>
        <w:tc>
          <w:tcPr>
            <w:tcW w:w="6465" w:type="dxa"/>
            <w:vAlign w:val="center"/>
          </w:tcPr>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（1）精度、带宽、采样率：电压及电流测量精度：0.01%+0.02%</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（2）功率精度：0.01%+0.03%</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（3）带宽：DC，0.1Hz～2MHz；采样率：2MS/s；</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（4）功率输入模块：标配一个功率输入单元,一个通道50A电流板卡。</w:t>
            </w:r>
          </w:p>
          <w:p>
            <w:pPr>
              <w:pStyle w:val="10"/>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（5）测量项目：各项电压及电流的有效值、平均值、峰值、频率、阻抗、各相有功功率、无功功率、功率因数、相角、三相电压及电流平均值、总有用功率、三相不平衡度等参数</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（6）电压输入量程：直接输入1.5V、3V、6V、10V、15V、30V、60V、100V、150V、300V、600V、1000V、1500V（峰值因数1.33）;</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（7）电流直接输入量程：50A板卡，1A、2.5A、5A、10A、25A、50A</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（8）外部传感器电流量程：50mV、100mV、200mV、500mV、1V、2V、5V、10V</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（9）数据更新周期10ms，50ms，100ms，200ms，500ms，1s，2s，5s，10s，20s，支持1ms-20s自定义</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（10）内部储存功能：240GB，支持USB存储</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（11）线路滤波器：可选择OFF、1MHz、300kHz、100Hz~100kHz步进100Hz </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（12）频率滤波器：可选择OFF、100Hz、500Hz、1kHz</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（13）显示器：配置不小于12英寸彩色液晶显示屏；分辨率：1280 x 800像素； 支持触摸屏操作；</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（14）通讯接口：GPIB、USB、LAN、RS-232、光纤、支持WIFI链接。</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（15）谐波测量：可分析高达500次谐波；</w:t>
            </w:r>
            <w:r>
              <w:rPr>
                <w:rFonts w:hint="eastAsia" w:ascii="宋体" w:hAnsi="宋体" w:eastAsia="宋体" w:cs="宋体"/>
                <w:strike w:val="0"/>
                <w:dstrike w:val="0"/>
                <w:color w:val="auto"/>
                <w:sz w:val="24"/>
                <w:szCs w:val="24"/>
              </w:rPr>
              <w:t>谐波测量</w:t>
            </w:r>
            <w:r>
              <w:rPr>
                <w:rFonts w:hint="eastAsia" w:ascii="宋体" w:hAnsi="宋体" w:eastAsia="宋体" w:cs="宋体"/>
                <w:sz w:val="24"/>
                <w:szCs w:val="24"/>
              </w:rPr>
              <w:t>模式下可分析500次谐波，可测量间谐波。</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（16）高级功能：常规分析、谐波测量、波形回放、FFT分析、双矢量图、谐波测量、周期分析、闪变测量、Delta运算模式（可支持波形显示）、X-Y图、支持高低电压穿越测试。</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（17）无功功率测量：符合功率算法。</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（18）相位补偿：应该具有传感器的相位补偿功能，可消除使用传感器时带来的相位误差。</w:t>
            </w:r>
          </w:p>
          <w:p>
            <w:pPr>
              <w:pStyle w:val="7"/>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b w:val="0"/>
                <w:bCs/>
                <w:color w:val="auto"/>
                <w:sz w:val="24"/>
                <w:szCs w:val="24"/>
              </w:rPr>
            </w:pPr>
            <w:r>
              <w:rPr>
                <w:rFonts w:hint="eastAsia" w:ascii="宋体" w:hAnsi="宋体" w:eastAsia="宋体" w:cs="宋体"/>
                <w:sz w:val="24"/>
                <w:szCs w:val="24"/>
              </w:rPr>
              <w:t>（19）协议支持：支持SCPI协议，可快速和labview系统连接，支持Modbus协议。</w:t>
            </w:r>
          </w:p>
        </w:tc>
        <w:tc>
          <w:tcPr>
            <w:tcW w:w="765" w:type="dxa"/>
            <w:vAlign w:val="center"/>
          </w:tcPr>
          <w:p>
            <w:pPr>
              <w:pStyle w:val="7"/>
              <w:keepNext w:val="0"/>
              <w:keepLines w:val="0"/>
              <w:pageBreakBefore w:val="0"/>
              <w:kinsoku/>
              <w:wordWrap/>
              <w:overflowPunct/>
              <w:topLinePunct w:val="0"/>
              <w:autoSpaceDE/>
              <w:autoSpaceDN/>
              <w:bidi w:val="0"/>
              <w:adjustRightInd/>
              <w:snapToGrid/>
              <w:spacing w:line="400" w:lineRule="exact"/>
              <w:ind w:firstLine="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w:t>
            </w:r>
          </w:p>
        </w:tc>
        <w:tc>
          <w:tcPr>
            <w:tcW w:w="76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10" w:type="dxa"/>
            <w:vAlign w:val="center"/>
          </w:tcPr>
          <w:p>
            <w:pPr>
              <w:pStyle w:val="15"/>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w:t>
            </w:r>
          </w:p>
        </w:tc>
        <w:tc>
          <w:tcPr>
            <w:tcW w:w="91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荧光示波器</w:t>
            </w:r>
          </w:p>
        </w:tc>
        <w:tc>
          <w:tcPr>
            <w:tcW w:w="6465" w:type="dxa"/>
            <w:vAlign w:val="center"/>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（1）带宽500MHz；4路模拟通道+ EXT 通道，实时采样率最高2GSa/s，存储深度最大200Mpts</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（2）垂直档位最小可达500uV/div</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（3）波形捕获率最高500,000帧/秒；</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（4）分段存储最大支持90,000段，以非常小的死区时间分段捕获符合条件的事件</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（5）最大记录历史波形90,000帧，可通过导航菜单逐帧回放</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（6）支持10-bit模式和垂直缩放，更好地展现波形细节。</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（7）支持边沿、斜率、脉宽、窗口、欠幅、间隔、超时、码型、视频、区域触发</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（8）标配IIC, SPI, CAN,LIN,UART/ RS232触发及解码</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（9）2M点的FFT数据分析。</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（10）支持波形搜索与导航功能。</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（11）标配波特图功能，实现电源环路响应测试。</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（12）自动测量和统计功能。支持最小、最大、标准方差、直方图和趋势图等统计信息及计数器功能；支持门限测试，实现屏幕内自由测量。</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（13）基于硬件实现的模板测试功能</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（14）丰富的SCPI远程控制指令</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（15）内嵌Web Server，无需安装特殊的驱动和上位机软件，通过浏览器即可对仪器进行远程控制、观察波形，获取测量结果</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（16）不小于10.1英寸（1024×600）电容触摸屏显示屏，支持256级辉度及色温显示</w:t>
            </w:r>
          </w:p>
          <w:p>
            <w:pPr>
              <w:pStyle w:val="7"/>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b w:val="0"/>
                <w:bCs/>
                <w:color w:val="auto"/>
                <w:sz w:val="24"/>
                <w:szCs w:val="24"/>
              </w:rPr>
            </w:pPr>
            <w:r>
              <w:rPr>
                <w:rFonts w:hint="eastAsia" w:ascii="宋体" w:hAnsi="宋体" w:eastAsia="宋体" w:cs="宋体"/>
                <w:sz w:val="24"/>
                <w:szCs w:val="24"/>
              </w:rPr>
              <w:t>（17）提供丰富的外围接口：2个USB Host，1个USBDevice, LAN, Trigger Out；支持外接鼠标和键盘操控</w:t>
            </w:r>
          </w:p>
        </w:tc>
        <w:tc>
          <w:tcPr>
            <w:tcW w:w="765" w:type="dxa"/>
            <w:vAlign w:val="center"/>
          </w:tcPr>
          <w:p>
            <w:pPr>
              <w:pStyle w:val="7"/>
              <w:keepNext w:val="0"/>
              <w:keepLines w:val="0"/>
              <w:pageBreakBefore w:val="0"/>
              <w:kinsoku/>
              <w:wordWrap/>
              <w:overflowPunct/>
              <w:topLinePunct w:val="0"/>
              <w:autoSpaceDE/>
              <w:autoSpaceDN/>
              <w:bidi w:val="0"/>
              <w:adjustRightInd/>
              <w:snapToGrid/>
              <w:spacing w:line="400" w:lineRule="exact"/>
              <w:ind w:firstLine="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30</w:t>
            </w:r>
          </w:p>
        </w:tc>
        <w:tc>
          <w:tcPr>
            <w:tcW w:w="76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10" w:type="dxa"/>
            <w:vAlign w:val="center"/>
          </w:tcPr>
          <w:p>
            <w:pPr>
              <w:pStyle w:val="15"/>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6</w:t>
            </w:r>
          </w:p>
        </w:tc>
        <w:tc>
          <w:tcPr>
            <w:tcW w:w="91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交流电子负载</w:t>
            </w:r>
          </w:p>
        </w:tc>
        <w:tc>
          <w:tcPr>
            <w:tcW w:w="6465" w:type="dxa"/>
            <w:vAlign w:val="center"/>
          </w:tcPr>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（1）频率范围：45~450Hz</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（2）功率范围：1800VA</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（3）电压范围：50~420Vrms</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（4）电流范围：0-20Arms</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（5）并联/三相控制 </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（6）7寸LCD显示屏</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（7）示波器波形显示功能，显示电压和电流波形</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（8）高速 AD 采样，实时波形抓取</w:t>
            </w:r>
          </w:p>
          <w:p>
            <w:pPr>
              <w:pStyle w:val="10"/>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（9）可量测Vrms/Vpk/Vdc/Irms/Ipk/Idc/W/VA/VAR/CF/PF/FREQ</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（10）可量测高达50次的THD（V）参数</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（11）交流电子负载：CC /CR/CP模式</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（12）直流电子负载：CC/CR/CP/CV模式 </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（13）外部0-10V模拟量控制，电压，电流模拟量监控功能</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（14）OTP/OCP/OVP/UVP/OPP保护功能</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b w:val="0"/>
                <w:bCs/>
                <w:color w:val="auto"/>
                <w:sz w:val="24"/>
                <w:szCs w:val="24"/>
              </w:rPr>
            </w:pPr>
            <w:r>
              <w:rPr>
                <w:rFonts w:hint="eastAsia" w:ascii="宋体" w:hAnsi="宋体" w:eastAsia="宋体" w:cs="宋体"/>
                <w:sz w:val="24"/>
                <w:szCs w:val="24"/>
              </w:rPr>
              <w:t>（15）GPIB/LAN/USB通信接口，外部U盘接口</w:t>
            </w:r>
          </w:p>
        </w:tc>
        <w:tc>
          <w:tcPr>
            <w:tcW w:w="765" w:type="dxa"/>
            <w:vAlign w:val="center"/>
          </w:tcPr>
          <w:p>
            <w:pPr>
              <w:pStyle w:val="7"/>
              <w:keepNext w:val="0"/>
              <w:keepLines w:val="0"/>
              <w:pageBreakBefore w:val="0"/>
              <w:kinsoku/>
              <w:wordWrap/>
              <w:overflowPunct/>
              <w:topLinePunct w:val="0"/>
              <w:autoSpaceDE/>
              <w:autoSpaceDN/>
              <w:bidi w:val="0"/>
              <w:adjustRightInd/>
              <w:snapToGrid/>
              <w:spacing w:line="400" w:lineRule="exact"/>
              <w:ind w:firstLine="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w:t>
            </w:r>
          </w:p>
        </w:tc>
        <w:tc>
          <w:tcPr>
            <w:tcW w:w="76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10" w:type="dxa"/>
            <w:vAlign w:val="center"/>
          </w:tcPr>
          <w:p>
            <w:pPr>
              <w:pStyle w:val="15"/>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7</w:t>
            </w:r>
          </w:p>
        </w:tc>
        <w:tc>
          <w:tcPr>
            <w:tcW w:w="91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电力系统动态模拟实验系统</w:t>
            </w:r>
          </w:p>
        </w:tc>
        <w:tc>
          <w:tcPr>
            <w:tcW w:w="6465" w:type="dxa"/>
            <w:vAlign w:val="center"/>
          </w:tcPr>
          <w:p>
            <w:pPr>
              <w:keepNext w:val="0"/>
              <w:keepLines w:val="0"/>
              <w:pageBreakBefore w:val="0"/>
              <w:kinsoku/>
              <w:wordWrap/>
              <w:overflowPunct/>
              <w:topLinePunct w:val="0"/>
              <w:autoSpaceDE/>
              <w:autoSpaceDN/>
              <w:bidi w:val="0"/>
              <w:adjustRightInd/>
              <w:snapToGrid/>
              <w:spacing w:line="400" w:lineRule="exact"/>
              <w:ind w:firstLine="120" w:firstLineChars="50"/>
              <w:jc w:val="left"/>
              <w:textAlignment w:val="auto"/>
              <w:rPr>
                <w:rFonts w:hint="eastAsia" w:ascii="宋体" w:hAnsi="宋体" w:eastAsia="宋体" w:cs="宋体"/>
                <w:b/>
                <w:color w:val="000000"/>
                <w:sz w:val="24"/>
                <w:szCs w:val="24"/>
              </w:rPr>
            </w:pPr>
            <w:r>
              <w:rPr>
                <w:rFonts w:hint="eastAsia" w:ascii="宋体" w:hAnsi="宋体" w:eastAsia="宋体" w:cs="宋体"/>
                <w:b/>
                <w:sz w:val="24"/>
                <w:szCs w:val="24"/>
              </w:rPr>
              <w:t>一、主要功能</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1、可以完成电力系统的继电保护装置、同期、励磁、调速等装置的教学实验、验证实验及科研实验；</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2、可以完成电力系统的入网实验；</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3、可以模拟现代电能生产、传输分配使用的全过程；</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4、可以为电力类本科生、研究生提供一个专业课程学习和科学研究的实验平台；</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5、可完成大型电力系统仿真计算</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sz w:val="24"/>
                <w:szCs w:val="24"/>
              </w:rPr>
            </w:pPr>
            <w:r>
              <w:rPr>
                <w:rFonts w:hint="eastAsia" w:ascii="宋体" w:hAnsi="宋体" w:eastAsia="宋体" w:cs="宋体"/>
                <w:b/>
                <w:sz w:val="24"/>
                <w:szCs w:val="24"/>
              </w:rPr>
              <w:t>二、设备参数</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spacing w:val="-2"/>
                <w:sz w:val="24"/>
                <w:szCs w:val="24"/>
              </w:rPr>
            </w:pPr>
            <w:r>
              <w:rPr>
                <w:rFonts w:hint="eastAsia" w:ascii="宋体" w:hAnsi="宋体" w:eastAsia="宋体" w:cs="宋体"/>
                <w:b/>
                <w:spacing w:val="-2"/>
                <w:sz w:val="24"/>
                <w:szCs w:val="24"/>
              </w:rPr>
              <w:t>1、项目屏柜要求：</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1）屏柜安装各种保护测量装置，具有钢底座、顶板和侧板。</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2）结构：封闭式，通风良好的立式结构，便于控制电缆的连接、检查和维护。</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3）外型尺寸：</w:t>
            </w:r>
            <w:r>
              <w:rPr>
                <w:rFonts w:hint="eastAsia" w:ascii="宋体" w:hAnsi="宋体" w:eastAsia="宋体" w:cs="宋体"/>
                <w:strike w:val="0"/>
                <w:dstrike w:val="0"/>
                <w:color w:val="auto"/>
                <w:spacing w:val="-2"/>
                <w:sz w:val="24"/>
                <w:szCs w:val="24"/>
              </w:rPr>
              <w:t>不大于</w:t>
            </w:r>
            <w:r>
              <w:rPr>
                <w:rFonts w:hint="eastAsia" w:ascii="宋体" w:hAnsi="宋体" w:eastAsia="宋体" w:cs="宋体"/>
                <w:spacing w:val="-2"/>
                <w:sz w:val="24"/>
                <w:szCs w:val="24"/>
              </w:rPr>
              <w:t>高2260mm，宽800mm，深600mm。</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4）喷涂：采用计算机灰或学校指定颜色喷涂，所有的喷涂在机械振动以及热和油的作用下均不会出现划痕或变软。</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5）铭牌：置于屏面和屏内明显位置；柜上所有插件、信号灯及其辅助元件都用中文标明其用途及名称。</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6）布线整齐、清晰、美观，导线绝缘良好，无损伤，电流回路截面不小于2.5mm</w:t>
            </w:r>
            <w:r>
              <w:rPr>
                <w:rFonts w:hint="eastAsia" w:ascii="宋体" w:hAnsi="宋体" w:eastAsia="宋体" w:cs="宋体"/>
                <w:spacing w:val="-2"/>
                <w:sz w:val="24"/>
                <w:szCs w:val="24"/>
                <w:vertAlign w:val="superscript"/>
              </w:rPr>
              <w:t>2</w:t>
            </w:r>
            <w:r>
              <w:rPr>
                <w:rFonts w:hint="eastAsia" w:ascii="宋体" w:hAnsi="宋体" w:eastAsia="宋体" w:cs="宋体"/>
                <w:spacing w:val="-2"/>
                <w:sz w:val="24"/>
                <w:szCs w:val="24"/>
              </w:rPr>
              <w:t xml:space="preserve"> 和1000V 耐压绝缘绞线，其它回路截面不小于1.0mm</w:t>
            </w:r>
            <w:r>
              <w:rPr>
                <w:rFonts w:hint="eastAsia" w:ascii="宋体" w:hAnsi="宋体" w:eastAsia="宋体" w:cs="宋体"/>
                <w:spacing w:val="-2"/>
                <w:sz w:val="24"/>
                <w:szCs w:val="24"/>
                <w:vertAlign w:val="superscript"/>
              </w:rPr>
              <w:t>2</w:t>
            </w:r>
            <w:r>
              <w:rPr>
                <w:rFonts w:hint="eastAsia" w:ascii="宋体" w:hAnsi="宋体" w:eastAsia="宋体" w:cs="宋体"/>
                <w:spacing w:val="-2"/>
                <w:sz w:val="24"/>
                <w:szCs w:val="24"/>
              </w:rPr>
              <w:t xml:space="preserve"> 和1000V 耐压绝缘绞线。</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7）设备接线端部均标明其回路编号，编号正确。接线端子每侧接线为一根。</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8）接线端子牢固可靠，端子导电体由抗氧化的铜质材料制造。</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9）屏内设有专用接地铜排。接地考虑到设备间的压差和噪音，屏和设备配有接地端子。</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spacing w:val="-2"/>
                <w:sz w:val="24"/>
                <w:szCs w:val="24"/>
              </w:rPr>
            </w:pPr>
            <w:r>
              <w:rPr>
                <w:rFonts w:hint="eastAsia" w:ascii="宋体" w:hAnsi="宋体" w:eastAsia="宋体" w:cs="宋体"/>
                <w:b/>
                <w:spacing w:val="-2"/>
                <w:sz w:val="24"/>
                <w:szCs w:val="24"/>
              </w:rPr>
              <w:t>2、5kVA模拟发电机组：</w:t>
            </w:r>
          </w:p>
          <w:p>
            <w:pPr>
              <w:keepNext w:val="0"/>
              <w:keepLines w:val="0"/>
              <w:pageBreakBefore w:val="0"/>
              <w:kinsoku/>
              <w:wordWrap/>
              <w:overflowPunct/>
              <w:topLinePunct w:val="0"/>
              <w:autoSpaceDE/>
              <w:autoSpaceDN/>
              <w:bidi w:val="0"/>
              <w:adjustRightInd/>
              <w:snapToGrid/>
              <w:spacing w:line="400" w:lineRule="exact"/>
              <w:ind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 xml:space="preserve">采用直流电动机为原动机，拖动同步发电机的方式模拟发电机系统；主回路按标准发电机回路配置，配置三相CT；出口配置保护、测量、励磁CT，出口PT等；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1） 原动机：≥7.5kW,DC220V；励磁方式：他励；绝缘等级：F级；额定转速：1000r/min；最高转速：1500r/min；励磁电压：220V；励磁电流：≥8.6A；防护等级：23S。</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2）试验同步发电机：容量≥5kVA；额定效率≥80%；相数：三相绕组接法：Y接额定电压0.4kV；输出功率：5kVA；额定功率因数：0.8；额定频率：50Hz；防护等级 IP21；绝缘等级F级。</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3）其他配件要求：采用铸件同轴安装平台；测速装置采用光电编码器；调速装置测量功角；通过微机调速单元调节直流电动机的电枢电压来自动调节原动机转速（频率）；通过微机励磁控制单元来自动调节发电机的励磁电流，也可以通过手动控制开关手动调节；同步发电机三相电压、相位、对称度不低于大型机组国标要求，三相对不称度、负序电压小于等于4％；同步发电机线电压的波形为正弦波，波形畸变满足大型原型机组的国标要求；模拟发电机的同步电抗与暂态电抗标么值满足设计值，次暂态电抗接近设计值；定子绕组三相直流电阻应平衡；耐压试验，绝缘电阻满足国标要求。</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spacing w:val="-2"/>
                <w:sz w:val="24"/>
                <w:szCs w:val="24"/>
              </w:rPr>
            </w:pPr>
            <w:r>
              <w:rPr>
                <w:rFonts w:hint="eastAsia" w:ascii="宋体" w:hAnsi="宋体" w:eastAsia="宋体" w:cs="宋体"/>
                <w:b/>
                <w:spacing w:val="-2"/>
                <w:sz w:val="24"/>
                <w:szCs w:val="24"/>
              </w:rPr>
              <w:t>3、2kVA模拟变压器</w:t>
            </w:r>
          </w:p>
          <w:p>
            <w:pPr>
              <w:keepNext w:val="0"/>
              <w:keepLines w:val="0"/>
              <w:pageBreakBefore w:val="0"/>
              <w:kinsoku/>
              <w:wordWrap/>
              <w:overflowPunct/>
              <w:topLinePunct w:val="0"/>
              <w:autoSpaceDE/>
              <w:autoSpaceDN/>
              <w:bidi w:val="0"/>
              <w:adjustRightInd/>
              <w:snapToGrid/>
              <w:spacing w:line="400" w:lineRule="exact"/>
              <w:ind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 xml:space="preserve">采用三台单相2kVA模拟变压器组成6kVA模拟变压器，每台单相变压器采用双绕组形式，变压器变比为1kV/380V。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1）变压器空载电流≦额定电流的1.5％；</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2）变压器空载损耗≦额定功率的1.0％；</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3）变压器短路损耗≦额定功率的0.5％；</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4）可承受≧10秒的三相故障, 并且可以承受多次这种短路实验，每次故障间隔≦10分钟；</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5）可承受≧10倍额定电流、持续≧5秒的冲击；</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6）绝缘等级：E级及以上；</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spacing w:val="-2"/>
                <w:sz w:val="24"/>
                <w:szCs w:val="24"/>
              </w:rPr>
            </w:pPr>
            <w:r>
              <w:rPr>
                <w:rFonts w:hint="eastAsia" w:ascii="宋体" w:hAnsi="宋体" w:eastAsia="宋体" w:cs="宋体"/>
                <w:b/>
                <w:spacing w:val="-2"/>
                <w:sz w:val="24"/>
                <w:szCs w:val="24"/>
              </w:rPr>
              <w:t>4、50kVA无穷大变压器</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1）额定容量：50kVA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 xml:space="preserve">2）形式：三相三柱式两绕组，Y0/△ － 11 ；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3）电压比</w:t>
            </w:r>
            <w:r>
              <w:rPr>
                <w:rFonts w:hint="eastAsia" w:ascii="宋体" w:hAnsi="宋体" w:eastAsia="宋体" w:cs="宋体"/>
                <w:spacing w:val="-2"/>
                <w:sz w:val="24"/>
                <w:szCs w:val="24"/>
                <w:lang w:val="en-US" w:eastAsia="zh-CN"/>
              </w:rPr>
              <w:t>:</w:t>
            </w:r>
            <w:r>
              <w:rPr>
                <w:rFonts w:hint="eastAsia" w:ascii="宋体" w:hAnsi="宋体" w:eastAsia="宋体" w:cs="宋体"/>
                <w:spacing w:val="-2"/>
                <w:sz w:val="24"/>
                <w:szCs w:val="24"/>
              </w:rPr>
              <w:t xml:space="preserve"> 1kV/380V；</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4）变压器空载电流 额定电流的≤1.5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5）变压器空载损耗 额定功率的 ≤1.2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6）变压器短路损耗 额定功率0.6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7）绝缘等级：E级及以上；</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8）可承受至少10秒的三相故障, 并且可以承受多次这种短路实验，每次故障间隔≤10分钟；</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9）可承受≧10倍额定电流、持续≧5秒的冲击；</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spacing w:val="-2"/>
                <w:sz w:val="24"/>
                <w:szCs w:val="24"/>
              </w:rPr>
            </w:pPr>
            <w:r>
              <w:rPr>
                <w:rFonts w:hint="eastAsia" w:ascii="宋体" w:hAnsi="宋体" w:eastAsia="宋体" w:cs="宋体"/>
                <w:b/>
                <w:spacing w:val="-2"/>
                <w:sz w:val="24"/>
                <w:szCs w:val="24"/>
              </w:rPr>
              <w:t>5、50kVA无穷大调压器</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1）三相感应调压器容量50kVA；</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2）调压范围为380V/(0～500V)；</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3）额定输入电压380V；</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4）额定输出电压0～500V；</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5）可远程控制调整，具有限位功能；</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6）感应式无触点调压器也称油浸式电动调压器。</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spacing w:val="-2"/>
                <w:sz w:val="24"/>
                <w:szCs w:val="24"/>
              </w:rPr>
            </w:pPr>
            <w:r>
              <w:rPr>
                <w:rFonts w:hint="eastAsia" w:ascii="宋体" w:hAnsi="宋体" w:eastAsia="宋体" w:cs="宋体"/>
                <w:b/>
                <w:spacing w:val="-2"/>
                <w:sz w:val="24"/>
                <w:szCs w:val="24"/>
              </w:rPr>
              <w:t>6、110kV 模拟输电线路</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1）采用 π 单元接线， 模拟8条110kV电缆输电线路；</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2）每组模拟≥2km 一个单元的线路参数，电抗器要求纯铜电抗器；</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3）额定电流≥10A；</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4）电容器采用有机介质电容器。</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5）配置柜体</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spacing w:val="-2"/>
                <w:sz w:val="24"/>
                <w:szCs w:val="24"/>
              </w:rPr>
            </w:pPr>
            <w:r>
              <w:rPr>
                <w:rFonts w:hint="eastAsia" w:ascii="宋体" w:hAnsi="宋体" w:eastAsia="宋体" w:cs="宋体"/>
                <w:b/>
                <w:spacing w:val="-2"/>
                <w:sz w:val="24"/>
                <w:szCs w:val="24"/>
              </w:rPr>
              <w:t>7、模拟无穷大电源测量控制屏</w:t>
            </w:r>
          </w:p>
          <w:p>
            <w:pPr>
              <w:keepNext w:val="0"/>
              <w:keepLines w:val="0"/>
              <w:pageBreakBefore w:val="0"/>
              <w:kinsoku/>
              <w:wordWrap/>
              <w:overflowPunct/>
              <w:topLinePunct w:val="0"/>
              <w:autoSpaceDE/>
              <w:autoSpaceDN/>
              <w:bidi w:val="0"/>
              <w:adjustRightInd/>
              <w:snapToGrid/>
              <w:spacing w:line="400" w:lineRule="exact"/>
              <w:ind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含1组无穷大开关系统的测量、控制，配置无穷大开关(模拟断路器)和无穷大调整接触器及其控制系统、 3台高压电流互感器、 3 台高压电压互感器、一套测控单元等；另含远程控制的交流动力电源开关及其控制器(模拟断路器)；</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1）可在线监测以下参数：三相电压、电流、有功功率、无功功率、功率因数、电网频率、有功电能，无功电能。</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2）测控单元带有通讯接口、四路开关量输入、四路开关量输出和四路模拟量输出功能。将高精度电量测量、智能化电能计量与管理和简单人机界面结合在一起；可直接从电流、电压互感器输入信号，现场可编程设置输入参数变比。</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3）在线监测无穷大开关的开、断状态；实现无穷大开关的开 / 合控制；</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4）测控单元满足对生产过程的数据采集和控制命令执行的要求；</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5）响应能力满足系统数据采集、人机通信、控制功能和系统通信要求；</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6）测控单元的响应能力：中断响应时间 ≤2ms；模拟点采集周期 ≤1s；控制命令响应时间 ≤1s；刷新时间 ≤1s。</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spacing w:val="-2"/>
                <w:sz w:val="24"/>
                <w:szCs w:val="24"/>
              </w:rPr>
            </w:pPr>
            <w:r>
              <w:rPr>
                <w:rFonts w:hint="eastAsia" w:ascii="宋体" w:hAnsi="宋体" w:eastAsia="宋体" w:cs="宋体"/>
                <w:b/>
                <w:spacing w:val="-2"/>
                <w:sz w:val="24"/>
                <w:szCs w:val="24"/>
              </w:rPr>
              <w:t>8、模拟高压系统故障屏</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1）故障模拟接触器：3P 50A</w:t>
            </w:r>
            <w:r>
              <w:rPr>
                <w:rFonts w:hint="eastAsia" w:ascii="宋体" w:hAnsi="宋体" w:eastAsia="宋体" w:cs="宋体"/>
                <w:spacing w:val="-2"/>
                <w:sz w:val="24"/>
                <w:szCs w:val="24"/>
              </w:rPr>
              <w:tab/>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2）配备时间继电器：用于控制短路时间。</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3）中性点刀开关：63A 1P</w:t>
            </w:r>
            <w:r>
              <w:rPr>
                <w:rFonts w:hint="eastAsia" w:ascii="宋体" w:hAnsi="宋体" w:eastAsia="宋体" w:cs="宋体"/>
                <w:spacing w:val="-2"/>
                <w:sz w:val="24"/>
                <w:szCs w:val="24"/>
              </w:rPr>
              <w:tab/>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4）模拟高压系统故障屏配置高压系统短路点选择开关（大于等于5个点）；</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 xml:space="preserve">5）短路点有大电流接触器选择，短路点选择相互闭锁（只允许产生一个短路点），主短路开关采用真空接触器，真空接触器主触头额定电流不小于≧25A ，工作电压≧1000V；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6）故障模拟装置：能够满足各种类型短路（单相接地、两相短路、两相短路接地、三相短路等）故障操作。</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spacing w:val="-2"/>
                <w:sz w:val="24"/>
                <w:szCs w:val="24"/>
              </w:rPr>
            </w:pPr>
            <w:r>
              <w:rPr>
                <w:rFonts w:hint="eastAsia" w:ascii="宋体" w:hAnsi="宋体" w:eastAsia="宋体" w:cs="宋体"/>
                <w:b/>
                <w:spacing w:val="-2"/>
                <w:sz w:val="24"/>
                <w:szCs w:val="24"/>
              </w:rPr>
              <w:t>9、模拟线路保护测控屏</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1）至少含两组线路开关系统的测量、控制，至少有 8 台线路开关及其控制系统、 6 台高饱和电流互感器、 6 台线路电压互感器、一套测控单元等；</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2）可在线监测以下参数：三相电压、电流、有功功率、无功功率、功率因数、电网频率、有功电能，无功电能。</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3）测控单元带有通讯接口、四路开关量输入、四路开关量输出和四路模拟量输出功能。可直接从电流、电压互感器输入信号，现场可编程设置输入参数变比。</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4）在线监测线路开关的开、断状态；实现线路开关的开 / 合控制；测控单元满足对生产过程的数据采集和控制命令执行的要求；响应能力满足系统数据采集、人机通信、控制功能和系统通信要求；</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5）测控单元的响应能力：中断响应时间 ≤2ms；模拟点采集周期 ≤1s；控制命令响应时间 ≤1s；刷新时间 ≤1s。</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6）配置一台多功能微机保护装置（110kV距离保护），装置参数如下：</w:t>
            </w:r>
          </w:p>
          <w:p>
            <w:pPr>
              <w:keepNext w:val="0"/>
              <w:keepLines w:val="0"/>
              <w:pageBreakBefore w:val="0"/>
              <w:kinsoku/>
              <w:wordWrap/>
              <w:overflowPunct/>
              <w:topLinePunct w:val="0"/>
              <w:autoSpaceDE/>
              <w:autoSpaceDN/>
              <w:bidi w:val="0"/>
              <w:adjustRightInd/>
              <w:snapToGrid/>
              <w:spacing w:line="400" w:lineRule="exact"/>
              <w:ind w:firstLine="236" w:firstLineChars="1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（1）具有三段相间距离保护、三段接地距离保护、四段方向性零序电流保护、三相一次重合闸、TV断线检测、距离三段保护和零序电流保护功能。</w:t>
            </w:r>
          </w:p>
          <w:p>
            <w:pPr>
              <w:keepNext w:val="0"/>
              <w:keepLines w:val="0"/>
              <w:pageBreakBefore w:val="0"/>
              <w:kinsoku/>
              <w:wordWrap/>
              <w:overflowPunct/>
              <w:topLinePunct w:val="0"/>
              <w:autoSpaceDE/>
              <w:autoSpaceDN/>
              <w:bidi w:val="0"/>
              <w:adjustRightInd/>
              <w:snapToGrid/>
              <w:spacing w:line="400" w:lineRule="exact"/>
              <w:ind w:firstLine="236" w:firstLineChars="1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（2）保护装置具有权威第三方检测机构出具的检测报告。投标时提供复印件（加盖所有权人公章）。</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7）电力故障录波及分析装置放置于此屏内，采集并记录母线电压、线路电流、故障信息、断路器位置等信息。将故障/运行过程中的整个过程全部录下来，能保存完整的20次实验数据，每次实验录波时间高于5分钟。</w:t>
            </w:r>
          </w:p>
          <w:p>
            <w:pPr>
              <w:keepNext w:val="0"/>
              <w:keepLines w:val="0"/>
              <w:pageBreakBefore w:val="0"/>
              <w:kinsoku/>
              <w:wordWrap/>
              <w:overflowPunct/>
              <w:topLinePunct w:val="0"/>
              <w:autoSpaceDE/>
              <w:autoSpaceDN/>
              <w:bidi w:val="0"/>
              <w:adjustRightInd/>
              <w:snapToGrid/>
              <w:spacing w:line="400" w:lineRule="exact"/>
              <w:ind w:firstLine="236" w:firstLineChars="1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（1）电力故障录波及分析装置同步采样12路模拟量；</w:t>
            </w:r>
          </w:p>
          <w:p>
            <w:pPr>
              <w:keepNext w:val="0"/>
              <w:keepLines w:val="0"/>
              <w:pageBreakBefore w:val="0"/>
              <w:kinsoku/>
              <w:wordWrap/>
              <w:overflowPunct/>
              <w:topLinePunct w:val="0"/>
              <w:autoSpaceDE/>
              <w:autoSpaceDN/>
              <w:bidi w:val="0"/>
              <w:adjustRightInd/>
              <w:snapToGrid/>
              <w:spacing w:line="400" w:lineRule="exact"/>
              <w:ind w:firstLine="236" w:firstLineChars="1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（2）采样频率可以在0Hz-100KHz之间任意选择。能够根据后期教学需求，提供原始数据和实验过程波形慢回放。回放过程可自由调节播放速度、灵活控制播放。</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spacing w:val="-2"/>
                <w:sz w:val="24"/>
                <w:szCs w:val="24"/>
              </w:rPr>
            </w:pPr>
            <w:r>
              <w:rPr>
                <w:rFonts w:hint="eastAsia" w:ascii="宋体" w:hAnsi="宋体" w:eastAsia="宋体" w:cs="宋体"/>
                <w:b/>
                <w:spacing w:val="-2"/>
                <w:sz w:val="24"/>
                <w:szCs w:val="24"/>
              </w:rPr>
              <w:t>10、模拟变压器保护测控屏</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1）含一组变压器开关系统的测量、控制，开关及其控制系统、 6 台高饱和电流互感器、 6 台电压互感器、2套测控单元等；</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2）可在线监测以下参数：三相电压、电流、有功功率、无功功率、功率因数、电网频率、有功电能，无功电能。</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3）测控单元带有通讯接口、四路开关量输入、四路开关量输出和四路模拟量输出功能。可直接从电流、电压互感器输入信号，现场可编程设置输入参数变比。</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4）在线监测变压器高低压侧开关的开、断状态；实现变压器高低压侧开关的开 / 合控制；测控单元满足对生产过程的数据采集和控制命令执行的要求；响应能力满足系统数据采集、人机通信、控制功能和系统通信要求；</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5）测控单元的响应能力：中断响应时间 ≤2ms；模拟点采集周期 ≤1s；控制命令响应时间 ≤1s；刷新时间 ≤1s。</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6）配置一台多功能微机保护装置（变压器主保护和变压器后备保护），装置参数如下：</w:t>
            </w:r>
          </w:p>
          <w:p>
            <w:pPr>
              <w:keepNext w:val="0"/>
              <w:keepLines w:val="0"/>
              <w:pageBreakBefore w:val="0"/>
              <w:kinsoku/>
              <w:wordWrap/>
              <w:overflowPunct/>
              <w:topLinePunct w:val="0"/>
              <w:autoSpaceDE/>
              <w:autoSpaceDN/>
              <w:bidi w:val="0"/>
              <w:adjustRightInd/>
              <w:snapToGrid/>
              <w:spacing w:line="400" w:lineRule="exact"/>
              <w:ind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（1）变压器电流速断、差动速断、轻瓦斯保护、重瓦斯保护、超温保护、过温保护等功能。</w:t>
            </w:r>
          </w:p>
          <w:p>
            <w:pPr>
              <w:keepNext w:val="0"/>
              <w:keepLines w:val="0"/>
              <w:pageBreakBefore w:val="0"/>
              <w:kinsoku/>
              <w:wordWrap/>
              <w:overflowPunct/>
              <w:topLinePunct w:val="0"/>
              <w:autoSpaceDE/>
              <w:autoSpaceDN/>
              <w:bidi w:val="0"/>
              <w:adjustRightInd/>
              <w:snapToGrid/>
              <w:spacing w:line="400" w:lineRule="exact"/>
              <w:ind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（2）变压器后备保护具有变压器低电压起动过电流保护、复合电压起动过电流保护、过负荷保护、零序保护、非电量保护等功能。</w:t>
            </w:r>
          </w:p>
          <w:p>
            <w:pPr>
              <w:keepNext w:val="0"/>
              <w:keepLines w:val="0"/>
              <w:pageBreakBefore w:val="0"/>
              <w:kinsoku/>
              <w:wordWrap/>
              <w:overflowPunct/>
              <w:topLinePunct w:val="0"/>
              <w:autoSpaceDE/>
              <w:autoSpaceDN/>
              <w:bidi w:val="0"/>
              <w:adjustRightInd/>
              <w:snapToGrid/>
              <w:spacing w:line="400" w:lineRule="exact"/>
              <w:ind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（3）保护装置具有权威第三方检测机构出具的检测报告。投标时提供复印件（加盖所有权人公章）。</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7）电力故障录波及分析装置放置于此屏内，采集并记录母线电压、线路电流、故障信息、断路器位置等信息。将故障/运行过程中的整个过程全部录下来，能保存完整的20次实验数据，每次实验录波时间高于5分钟。</w:t>
            </w:r>
          </w:p>
          <w:p>
            <w:pPr>
              <w:keepNext w:val="0"/>
              <w:keepLines w:val="0"/>
              <w:pageBreakBefore w:val="0"/>
              <w:kinsoku/>
              <w:wordWrap/>
              <w:overflowPunct/>
              <w:topLinePunct w:val="0"/>
              <w:autoSpaceDE/>
              <w:autoSpaceDN/>
              <w:bidi w:val="0"/>
              <w:adjustRightInd/>
              <w:snapToGrid/>
              <w:spacing w:line="400" w:lineRule="exact"/>
              <w:ind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（1）电力故障录波及分析装置同步采样12路模拟量；</w:t>
            </w:r>
          </w:p>
          <w:p>
            <w:pPr>
              <w:keepNext w:val="0"/>
              <w:keepLines w:val="0"/>
              <w:pageBreakBefore w:val="0"/>
              <w:kinsoku/>
              <w:wordWrap/>
              <w:overflowPunct/>
              <w:topLinePunct w:val="0"/>
              <w:autoSpaceDE/>
              <w:autoSpaceDN/>
              <w:bidi w:val="0"/>
              <w:adjustRightInd/>
              <w:snapToGrid/>
              <w:spacing w:line="400" w:lineRule="exact"/>
              <w:ind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（2）采样频率可以在0Hz-100KHz之间任意选择。能够根据后期教学需求，提供原始数据和实验过程波形慢回放。回放过程可自由调节播放速度、灵活控制播放。</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spacing w:val="-2"/>
                <w:sz w:val="24"/>
                <w:szCs w:val="24"/>
              </w:rPr>
            </w:pPr>
            <w:r>
              <w:rPr>
                <w:rFonts w:hint="eastAsia" w:ascii="宋体" w:hAnsi="宋体" w:eastAsia="宋体" w:cs="宋体"/>
                <w:b/>
                <w:spacing w:val="-2"/>
                <w:sz w:val="24"/>
                <w:szCs w:val="24"/>
              </w:rPr>
              <w:t>11、原动机及调速系统仿真屏</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1）具有输入电源相序错误/缺相、过流保护、过速保护等保护功能；保护动作将切除动力电源开关，并发声、光信号指示；</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2) 测量表计：电枢电流表、电枢电压表。</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3) 配备安装二次辅助设备（按钮、转换开关、压板、指示灯）。</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4) 电源开关：配备工作电源开关和动力电源开关。</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5）熔断器：配置输入熔断器，良好的保护设备。RT18-63X/3P</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6）微机型调速装置：用来调节电动机转速和测量计算系统功角。微机型调速装置具有如下功能：转速测量误差≤0.2% ；系统功角测量误差≤1</w:t>
            </w:r>
            <w:r>
              <w:rPr>
                <w:rFonts w:hint="eastAsia" w:ascii="宋体" w:hAnsi="宋体" w:eastAsia="宋体" w:cs="宋体"/>
                <w:spacing w:val="-2"/>
                <w:sz w:val="24"/>
                <w:szCs w:val="24"/>
              </w:rPr>
              <w:sym w:font="Symbol" w:char="F0B0"/>
            </w:r>
            <w:r>
              <w:rPr>
                <w:rFonts w:hint="eastAsia" w:ascii="宋体" w:hAnsi="宋体" w:eastAsia="宋体" w:cs="宋体"/>
                <w:spacing w:val="-2"/>
                <w:sz w:val="24"/>
                <w:szCs w:val="24"/>
              </w:rPr>
              <w:t xml:space="preserve"> ；具备自动（闭环）调节和手动（开环）调节两种控制模式；在闭环调节方式下具有一键启机功能；采用7英寸彩色电阻触摸屏显示，显示屏可在同一屏显示发电机控制参数、实际转速、功角等。并能直观的通过表盘的形式观察到实际转速。装置配置多个通讯接口（2路光电隔离RS485通讯、一路RJ45网络接口），波特率设置范围为4800—57600。通讯协议开放，支持SCADA遥测、遥信、遥调功能，并能远程下载装置参数</w:t>
            </w:r>
            <w:r>
              <w:rPr>
                <w:rFonts w:hint="eastAsia" w:ascii="宋体" w:hAnsi="宋体" w:eastAsia="宋体" w:cs="宋体"/>
                <w:color w:val="auto"/>
                <w:spacing w:val="-2"/>
                <w:sz w:val="24"/>
                <w:szCs w:val="24"/>
                <w:highlight w:val="none"/>
                <w:lang w:val="en-US" w:eastAsia="zh-CN"/>
              </w:rPr>
              <w:t>,</w:t>
            </w:r>
            <w:r>
              <w:rPr>
                <w:rFonts w:hint="eastAsia" w:ascii="宋体" w:hAnsi="宋体" w:eastAsia="宋体" w:cs="宋体"/>
                <w:b/>
                <w:bCs/>
                <w:strike w:val="0"/>
                <w:dstrike w:val="0"/>
                <w:color w:val="auto"/>
                <w:spacing w:val="-2"/>
                <w:sz w:val="24"/>
                <w:szCs w:val="24"/>
                <w:highlight w:val="none"/>
                <w:lang w:val="en-US" w:eastAsia="zh-CN"/>
              </w:rPr>
              <w:t>须</w:t>
            </w:r>
            <w:r>
              <w:rPr>
                <w:rFonts w:hint="eastAsia" w:ascii="宋体" w:hAnsi="宋体" w:eastAsia="宋体" w:cs="宋体"/>
                <w:b/>
                <w:bCs/>
                <w:strike w:val="0"/>
                <w:dstrike w:val="0"/>
                <w:color w:val="auto"/>
                <w:spacing w:val="-2"/>
                <w:sz w:val="24"/>
                <w:szCs w:val="24"/>
                <w:highlight w:val="none"/>
              </w:rPr>
              <w:t>提供国家认可的具有检测资质的检测机构出具的有效检测报告复印件</w:t>
            </w:r>
            <w:r>
              <w:rPr>
                <w:rFonts w:hint="eastAsia" w:ascii="宋体" w:hAnsi="宋体" w:eastAsia="宋体" w:cs="宋体"/>
                <w:color w:val="auto"/>
                <w:spacing w:val="-2"/>
                <w:sz w:val="24"/>
                <w:szCs w:val="24"/>
                <w:highlight w:val="none"/>
              </w:rPr>
              <w:t>。</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7) 调速变压器。三相380、400/190、210， 原边2组触头，输出端2组触头；容量：≥10KVA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8) 调速整流模块：受自动调速装置控制输出电动机驱动电流。</w:t>
            </w:r>
          </w:p>
          <w:p>
            <w:pPr>
              <w:keepNext w:val="0"/>
              <w:keepLines w:val="0"/>
              <w:pageBreakBefore w:val="0"/>
              <w:kinsoku/>
              <w:wordWrap/>
              <w:overflowPunct/>
              <w:topLinePunct w:val="0"/>
              <w:autoSpaceDE/>
              <w:autoSpaceDN/>
              <w:bidi w:val="0"/>
              <w:adjustRightInd/>
              <w:snapToGrid/>
              <w:spacing w:line="400" w:lineRule="exact"/>
              <w:ind w:firstLine="236" w:firstLineChars="1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（1）最大输出电流：≥50A；</w:t>
            </w:r>
          </w:p>
          <w:p>
            <w:pPr>
              <w:keepNext w:val="0"/>
              <w:keepLines w:val="0"/>
              <w:pageBreakBefore w:val="0"/>
              <w:kinsoku/>
              <w:wordWrap/>
              <w:overflowPunct/>
              <w:topLinePunct w:val="0"/>
              <w:autoSpaceDE/>
              <w:autoSpaceDN/>
              <w:bidi w:val="0"/>
              <w:adjustRightInd/>
              <w:snapToGrid/>
              <w:spacing w:line="400" w:lineRule="exact"/>
              <w:ind w:firstLine="236" w:firstLineChars="1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（2）额定工作电压：380V；</w:t>
            </w:r>
          </w:p>
          <w:p>
            <w:pPr>
              <w:keepNext w:val="0"/>
              <w:keepLines w:val="0"/>
              <w:pageBreakBefore w:val="0"/>
              <w:kinsoku/>
              <w:wordWrap/>
              <w:overflowPunct/>
              <w:topLinePunct w:val="0"/>
              <w:autoSpaceDE/>
              <w:autoSpaceDN/>
              <w:bidi w:val="0"/>
              <w:adjustRightInd/>
              <w:snapToGrid/>
              <w:spacing w:line="400" w:lineRule="exact"/>
              <w:ind w:firstLine="236" w:firstLineChars="1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（3）控制电源电压：12V直流；</w:t>
            </w:r>
          </w:p>
          <w:p>
            <w:pPr>
              <w:keepNext w:val="0"/>
              <w:keepLines w:val="0"/>
              <w:pageBreakBefore w:val="0"/>
              <w:kinsoku/>
              <w:wordWrap/>
              <w:overflowPunct/>
              <w:topLinePunct w:val="0"/>
              <w:autoSpaceDE/>
              <w:autoSpaceDN/>
              <w:bidi w:val="0"/>
              <w:adjustRightInd/>
              <w:snapToGrid/>
              <w:spacing w:line="400" w:lineRule="exact"/>
              <w:ind w:firstLine="236" w:firstLineChars="1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（4）控制信号：0~10V。</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spacing w:val="-2"/>
                <w:sz w:val="24"/>
                <w:szCs w:val="24"/>
              </w:rPr>
            </w:pPr>
            <w:r>
              <w:rPr>
                <w:rFonts w:hint="eastAsia" w:ascii="宋体" w:hAnsi="宋体" w:eastAsia="宋体" w:cs="宋体"/>
                <w:b/>
                <w:spacing w:val="-2"/>
                <w:sz w:val="24"/>
                <w:szCs w:val="24"/>
              </w:rPr>
              <w:t>12、</w:t>
            </w:r>
            <w:bookmarkStart w:id="0" w:name="_Hlk532331297"/>
            <w:r>
              <w:rPr>
                <w:rFonts w:hint="eastAsia" w:ascii="宋体" w:hAnsi="宋体" w:eastAsia="宋体" w:cs="宋体"/>
                <w:b/>
                <w:spacing w:val="-2"/>
                <w:sz w:val="24"/>
                <w:szCs w:val="24"/>
              </w:rPr>
              <w:t>微机励磁调节屏</w:t>
            </w:r>
            <w:bookmarkEnd w:id="0"/>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1) 测量表计：励磁电流表、励磁电压表，机端电压表，机端频率表，机端电流表。</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2) 配备安装二次辅助设备（按钮、转换开关、压板、指示灯）。</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3) 电源开关：配备工作电源开关和动力电源开关。</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4）熔断器：配置输入熔断器，良好的保护设备。RT18-63X/3P</w:t>
            </w:r>
          </w:p>
          <w:p>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5) 电压互感器：用来采集发电机机端电压。变比为380V/100V。</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6) 电流互感器：用来采集发电机电流。变比为10A/5A。</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7) 微机型励磁装置：用来调节发电机励磁。具有如下功能：采用他励方式；可选择恒机端电压、恒励磁电流、恒导通角、恒无功等多种控制方式；具备过励、低励、伏频、定子电流等励磁限制功能；同时具备PT断线保护、空载过压保护和低频保护等多种保护功能；具备电力系统稳定器(PSS)功能；摒弃传统的按键输入，采用7英寸彩色电阻触摸屏显示，可在同一屏显示发电机端电压、频率、励磁电压、励磁电流、有功、无功、功率因数等。还可以在波形观察中回放显示励磁电压、电流波形；可在同一屏显示发电机端电压、频率、励磁电压、励磁电流、有功、无功、功率因数等；实验中可记录机组失稳时的频率、电压、电流、有功功率、无功功率、励磁电压、励磁电流等参数，用于装置参数校验和实验数据分析；装置配置多个通讯接口（2路光电隔离RS485通讯、一路RJ45网络接口），波特率设置范围为4800—57600。通讯协议开放，支持SCADA遥测、遥信、遥调功能，并能远程下载装置参数；电压调节范围：20%~120%（单机），20%~ 130%（单机试验），85%~120%（并网）；发电机机端电压调节精度≤±0.5%； 起励实验超调≤10%，甩负荷实验超调量≤15%； 调差系数在-15%和+15%直接可调；在恒机端电压控制方式下，具有一键起励功能</w:t>
            </w:r>
            <w:r>
              <w:rPr>
                <w:rFonts w:hint="eastAsia" w:ascii="宋体" w:hAnsi="宋体" w:eastAsia="宋体" w:cs="宋体"/>
                <w:spacing w:val="-2"/>
                <w:sz w:val="24"/>
                <w:szCs w:val="24"/>
                <w:lang w:val="en-US" w:eastAsia="zh-CN"/>
              </w:rPr>
              <w:t>,</w:t>
            </w:r>
            <w:r>
              <w:rPr>
                <w:rFonts w:hint="eastAsia" w:ascii="宋体" w:hAnsi="宋体" w:eastAsia="宋体" w:cs="宋体"/>
                <w:b/>
                <w:bCs/>
                <w:strike w:val="0"/>
                <w:dstrike w:val="0"/>
                <w:color w:val="auto"/>
                <w:spacing w:val="-2"/>
                <w:sz w:val="24"/>
                <w:szCs w:val="24"/>
                <w:highlight w:val="none"/>
                <w:lang w:val="en-US" w:eastAsia="zh-CN"/>
              </w:rPr>
              <w:t>须</w:t>
            </w:r>
            <w:r>
              <w:rPr>
                <w:rFonts w:hint="eastAsia" w:ascii="宋体" w:hAnsi="宋体" w:eastAsia="宋体" w:cs="宋体"/>
                <w:b/>
                <w:bCs/>
                <w:strike w:val="0"/>
                <w:dstrike w:val="0"/>
                <w:color w:val="auto"/>
                <w:spacing w:val="-2"/>
                <w:sz w:val="24"/>
                <w:szCs w:val="24"/>
                <w:highlight w:val="none"/>
              </w:rPr>
              <w:t>提供国家认可的具有检测资质的检测机构出具的有效检测报告复印件</w:t>
            </w:r>
            <w:r>
              <w:rPr>
                <w:rFonts w:hint="eastAsia" w:ascii="宋体" w:hAnsi="宋体" w:eastAsia="宋体" w:cs="宋体"/>
                <w:color w:val="auto"/>
                <w:spacing w:val="-2"/>
                <w:sz w:val="24"/>
                <w:szCs w:val="24"/>
                <w:highlight w:val="none"/>
              </w:rPr>
              <w:t>。</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8) 励磁变压器。三相变压器，原边2组触头，输出端2组触头。</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9) 励磁整流模块：受自动励磁装置控制输出发电机励磁电压。</w:t>
            </w:r>
          </w:p>
          <w:p>
            <w:pPr>
              <w:keepNext w:val="0"/>
              <w:keepLines w:val="0"/>
              <w:pageBreakBefore w:val="0"/>
              <w:kinsoku/>
              <w:wordWrap/>
              <w:overflowPunct/>
              <w:topLinePunct w:val="0"/>
              <w:autoSpaceDE/>
              <w:autoSpaceDN/>
              <w:bidi w:val="0"/>
              <w:adjustRightInd/>
              <w:snapToGrid/>
              <w:spacing w:line="400" w:lineRule="exact"/>
              <w:ind w:firstLine="236" w:firstLineChars="1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（1）最大输出电流：≥50A</w:t>
            </w:r>
          </w:p>
          <w:p>
            <w:pPr>
              <w:keepNext w:val="0"/>
              <w:keepLines w:val="0"/>
              <w:pageBreakBefore w:val="0"/>
              <w:kinsoku/>
              <w:wordWrap/>
              <w:overflowPunct/>
              <w:topLinePunct w:val="0"/>
              <w:autoSpaceDE/>
              <w:autoSpaceDN/>
              <w:bidi w:val="0"/>
              <w:adjustRightInd/>
              <w:snapToGrid/>
              <w:spacing w:line="400" w:lineRule="exact"/>
              <w:ind w:firstLine="236" w:firstLineChars="1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（2）额定工作电压：380V</w:t>
            </w:r>
          </w:p>
          <w:p>
            <w:pPr>
              <w:keepNext w:val="0"/>
              <w:keepLines w:val="0"/>
              <w:pageBreakBefore w:val="0"/>
              <w:kinsoku/>
              <w:wordWrap/>
              <w:overflowPunct/>
              <w:topLinePunct w:val="0"/>
              <w:autoSpaceDE/>
              <w:autoSpaceDN/>
              <w:bidi w:val="0"/>
              <w:adjustRightInd/>
              <w:snapToGrid/>
              <w:spacing w:line="400" w:lineRule="exact"/>
              <w:ind w:firstLine="236" w:firstLineChars="1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（3）控制电源电压：12V直流</w:t>
            </w:r>
          </w:p>
          <w:p>
            <w:pPr>
              <w:keepNext w:val="0"/>
              <w:keepLines w:val="0"/>
              <w:pageBreakBefore w:val="0"/>
              <w:kinsoku/>
              <w:wordWrap/>
              <w:overflowPunct/>
              <w:topLinePunct w:val="0"/>
              <w:autoSpaceDE/>
              <w:autoSpaceDN/>
              <w:bidi w:val="0"/>
              <w:adjustRightInd/>
              <w:snapToGrid/>
              <w:spacing w:line="400" w:lineRule="exact"/>
              <w:ind w:firstLine="236" w:firstLineChars="1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（4）控制信号：0~10V</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spacing w:val="-2"/>
                <w:sz w:val="24"/>
                <w:szCs w:val="24"/>
              </w:rPr>
            </w:pPr>
            <w:r>
              <w:rPr>
                <w:rFonts w:hint="eastAsia" w:ascii="宋体" w:hAnsi="宋体" w:eastAsia="宋体" w:cs="宋体"/>
                <w:b/>
                <w:spacing w:val="-2"/>
                <w:sz w:val="24"/>
                <w:szCs w:val="24"/>
              </w:rPr>
              <w:t>13、模拟发电机保护测控屏</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1）含一组发电机开关系统的测量、控制，开关及其控制系统、高饱和电流互感器、电压互感器、1套测控单元等；</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2）可在线监测以下参数：三相电压、电流、有功功率、无功功率、功率因数、电网频率、有功电能，无功电能。</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3）测控单元带有通讯接口、四路开关量输入、四路开关量输出和四路模拟量输出功能。可直接从电流、电压互感器输入信号，现场可编程设置输入参数变比。</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4）在线监测发电机开关的开、断状态；实现发电机开关的开 / 合控制；测控单元满足对生产过程的数据采集和控制命令执行的要求；响应能力满足系统数据采集、人机通信、控制功能和系统通信要求；</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5）测控单元的响应能力：中断响应时间 ≤2ms；模拟点采集周期 ≤1s；控制命令响应时间 ≤1s；刷新时间 ≤1s。</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6）配置一台多功能微机保护装置（发电机保护），装置参数如下：</w:t>
            </w:r>
          </w:p>
          <w:p>
            <w:pPr>
              <w:keepNext w:val="0"/>
              <w:keepLines w:val="0"/>
              <w:pageBreakBefore w:val="0"/>
              <w:kinsoku/>
              <w:wordWrap/>
              <w:overflowPunct/>
              <w:topLinePunct w:val="0"/>
              <w:autoSpaceDE/>
              <w:autoSpaceDN/>
              <w:bidi w:val="0"/>
              <w:adjustRightInd/>
              <w:snapToGrid/>
              <w:spacing w:line="400" w:lineRule="exact"/>
              <w:ind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（1）发电机后备保护的主要保护有：发电机后备电流保护、发电机后备电压保护、过负荷、低周解列、超温告警、超温跳闸、过温告警、PT断线、控制故障等。</w:t>
            </w:r>
          </w:p>
          <w:p>
            <w:pPr>
              <w:pStyle w:val="2"/>
              <w:rPr>
                <w:rFonts w:hint="eastAsia"/>
              </w:rPr>
            </w:pPr>
            <w:r>
              <w:rPr>
                <w:rFonts w:hint="eastAsia" w:ascii="宋体" w:hAnsi="宋体" w:eastAsia="宋体" w:cs="宋体"/>
                <w:b/>
                <w:bCs/>
                <w:strike w:val="0"/>
                <w:dstrike w:val="0"/>
                <w:color w:val="auto"/>
                <w:spacing w:val="-2"/>
                <w:sz w:val="24"/>
                <w:szCs w:val="24"/>
                <w:highlight w:val="none"/>
                <w:lang w:val="en-US" w:eastAsia="zh-CN"/>
              </w:rPr>
              <w:t>须</w:t>
            </w:r>
            <w:r>
              <w:rPr>
                <w:rFonts w:hint="eastAsia" w:ascii="宋体" w:hAnsi="宋体" w:eastAsia="宋体" w:cs="宋体"/>
                <w:b/>
                <w:bCs/>
                <w:strike w:val="0"/>
                <w:dstrike w:val="0"/>
                <w:color w:val="auto"/>
                <w:spacing w:val="-2"/>
                <w:sz w:val="24"/>
                <w:szCs w:val="24"/>
                <w:highlight w:val="none"/>
              </w:rPr>
              <w:t>提供国家认可的具有检测资质的检测机构出具的有效检测报告复印件</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7）电力故障录波及分析装置放置于此屏内，采集并记录母线电压、线路电流、故障信息、断路器位置等信息。将故障/运行过程中的整个过程全部录下来，能保存完整的20次实验数据，每次实验录波时间高于5分钟。</w:t>
            </w:r>
          </w:p>
          <w:p>
            <w:pPr>
              <w:keepNext w:val="0"/>
              <w:keepLines w:val="0"/>
              <w:pageBreakBefore w:val="0"/>
              <w:kinsoku/>
              <w:wordWrap/>
              <w:overflowPunct/>
              <w:topLinePunct w:val="0"/>
              <w:autoSpaceDE/>
              <w:autoSpaceDN/>
              <w:bidi w:val="0"/>
              <w:adjustRightInd/>
              <w:snapToGrid/>
              <w:spacing w:line="400" w:lineRule="exact"/>
              <w:ind w:firstLine="236" w:firstLineChars="1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（1）电力故障录波及分析装置同步采样12路模拟量；</w:t>
            </w:r>
          </w:p>
          <w:p>
            <w:pPr>
              <w:keepNext w:val="0"/>
              <w:keepLines w:val="0"/>
              <w:pageBreakBefore w:val="0"/>
              <w:kinsoku/>
              <w:wordWrap/>
              <w:overflowPunct/>
              <w:topLinePunct w:val="0"/>
              <w:autoSpaceDE/>
              <w:autoSpaceDN/>
              <w:bidi w:val="0"/>
              <w:adjustRightInd/>
              <w:snapToGrid/>
              <w:spacing w:line="400" w:lineRule="exact"/>
              <w:ind w:firstLine="236" w:firstLineChars="1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（2）采样频率可以在0Hz-100KHz之间任意选择。能够根据后期教学需求，提供原始数据和实验过程波形慢回放。回放过程可自由调节播放速度、灵活控制播放。</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spacing w:val="-2"/>
                <w:sz w:val="24"/>
                <w:szCs w:val="24"/>
              </w:rPr>
            </w:pPr>
            <w:r>
              <w:rPr>
                <w:rFonts w:hint="eastAsia" w:ascii="宋体" w:hAnsi="宋体" w:eastAsia="宋体" w:cs="宋体"/>
                <w:b/>
                <w:spacing w:val="-2"/>
                <w:sz w:val="24"/>
                <w:szCs w:val="24"/>
              </w:rPr>
              <w:t xml:space="preserve">14、高压系统电网组合屏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1）含各种电气母线丝印图，大功能接插件；配置自由连接的一次连线，绝缘、保护措施完善；</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2）可由用户自由设计并搭建不同类型的输电网络，设置不同的短路位置等。</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spacing w:val="-2"/>
                <w:sz w:val="24"/>
                <w:szCs w:val="24"/>
              </w:rPr>
            </w:pPr>
            <w:r>
              <w:rPr>
                <w:rFonts w:hint="eastAsia" w:ascii="宋体" w:hAnsi="宋体" w:eastAsia="宋体" w:cs="宋体"/>
                <w:b/>
                <w:spacing w:val="-2"/>
                <w:sz w:val="24"/>
                <w:szCs w:val="24"/>
              </w:rPr>
              <w:t>15、主测量控制试验台</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由一个主控制试验台和两个测量控制实验台组成；</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1）具有远程集中控制功能，具有微机监控系统管理机、能进行微机和手动双系统的同时监控，能实现电力系统的遥控、遥信、遥测 、遥调等常规功能。</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2）同时具备进行特殊试验的功能，留有外接设备的各种标准接口，</w:t>
            </w:r>
            <w:r>
              <w:rPr>
                <w:rFonts w:hint="eastAsia" w:ascii="宋体" w:hAnsi="宋体" w:eastAsia="宋体" w:cs="宋体"/>
                <w:color w:val="auto"/>
                <w:spacing w:val="-2"/>
                <w:sz w:val="24"/>
                <w:szCs w:val="24"/>
                <w:highlight w:val="none"/>
              </w:rPr>
              <w:t>严格按照 “ 电力工业继电保护动模试验标准 ”、“ 电力系统安全稳定导则 ” 以及相关的各种准则，行业要求进行设计、制造；</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3）控制台操作方便、安全可靠、可扩展性强；</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4）包含以下设备及接口：多功能数字表；＋24V 开关电源；同期表；切换开关；带灯按钮（红色、绿色）及自锁按钮（红色灯）；信号灯；自动开关；中间继电器；接线端子。</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spacing w:val="-2"/>
                <w:sz w:val="24"/>
                <w:szCs w:val="24"/>
              </w:rPr>
            </w:pPr>
            <w:r>
              <w:rPr>
                <w:rFonts w:hint="eastAsia" w:ascii="宋体" w:hAnsi="宋体" w:eastAsia="宋体" w:cs="宋体"/>
                <w:b/>
                <w:spacing w:val="-2"/>
                <w:sz w:val="24"/>
                <w:szCs w:val="24"/>
              </w:rPr>
              <w:t>16、通讯管理屏</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1）配置智能通讯管理装置，以太网通讯模块。</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2）预留调度通讯接口。</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3）配置对时装置。</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4）汇集现场485测量总线信号和以太网信号；</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5）选用高性能的以太网，通信接口标准及规约应能满足各种不同卖方提供的间隔单元接入的要求，通信速率：≥10Mbps，支持各种规约，并可根据具体情况开发特殊通信规约。</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spacing w:val="-2"/>
                <w:sz w:val="24"/>
                <w:szCs w:val="24"/>
              </w:rPr>
            </w:pPr>
            <w:r>
              <w:rPr>
                <w:rFonts w:hint="eastAsia" w:ascii="宋体" w:hAnsi="宋体" w:eastAsia="宋体" w:cs="宋体"/>
                <w:b/>
                <w:spacing w:val="-2"/>
                <w:sz w:val="24"/>
                <w:szCs w:val="24"/>
              </w:rPr>
              <w:t>17、电力监控组态软件</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1）电力系统监控系统能够显示各线路、负荷、联络变压器、发电机的状态、电压和电流等物理量；能对各开关进行分合闸控制；能对发电机进行增、减速控制及其励磁控制；能对各种实验数据保存、打印数据表格、打印实验接线图及潮流分析图；人性化设计的上位机控制软件界面，主菜单能选择进入不同功能项，便于操作，按照操作要求实时弹出相应画面，并能够进行参数设置和数据保存；监控主机能够监控各设备，根据实时监控数据和设备状态对电网进行开、关网设置；能够对电网中各仪表的数据进行读取，并生成报警记录和控制记录。</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2）支持服务器/客户模式，客户端与监控平台服务器软件的控制界面相同，监控数据能同时在服务器和客户端显示，服务器具有权限管理功能；系统开放监控管理系统预留接口，实现外接计算机、投影仪。</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3）站控网络层、间隔层保护测控单元采用以太网结构，模拟屏、直流电源系统等智能设备通过通讯管理机接入以太网系统；各智能设备单元功能不依赖于站控层。</w:t>
            </w:r>
          </w:p>
          <w:p>
            <w:pPr>
              <w:keepNext w:val="0"/>
              <w:keepLines w:val="0"/>
              <w:pageBreakBefore w:val="0"/>
              <w:kinsoku/>
              <w:wordWrap/>
              <w:overflowPunct/>
              <w:topLinePunct w:val="0"/>
              <w:autoSpaceDE/>
              <w:autoSpaceDN/>
              <w:bidi w:val="0"/>
              <w:adjustRightInd/>
              <w:snapToGrid/>
              <w:spacing w:line="400" w:lineRule="exact"/>
              <w:ind w:firstLine="236" w:firstLineChars="1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（1）刷新主要开关设备状态; </w:t>
            </w:r>
          </w:p>
          <w:p>
            <w:pPr>
              <w:keepNext w:val="0"/>
              <w:keepLines w:val="0"/>
              <w:pageBreakBefore w:val="0"/>
              <w:kinsoku/>
              <w:wordWrap/>
              <w:overflowPunct/>
              <w:topLinePunct w:val="0"/>
              <w:autoSpaceDE/>
              <w:autoSpaceDN/>
              <w:bidi w:val="0"/>
              <w:adjustRightInd/>
              <w:snapToGrid/>
              <w:spacing w:line="400" w:lineRule="exact"/>
              <w:ind w:firstLine="236" w:firstLineChars="1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（2）开关遥控的分合操作; </w:t>
            </w:r>
          </w:p>
          <w:p>
            <w:pPr>
              <w:keepNext w:val="0"/>
              <w:keepLines w:val="0"/>
              <w:pageBreakBefore w:val="0"/>
              <w:kinsoku/>
              <w:wordWrap/>
              <w:overflowPunct/>
              <w:topLinePunct w:val="0"/>
              <w:autoSpaceDE/>
              <w:autoSpaceDN/>
              <w:bidi w:val="0"/>
              <w:adjustRightInd/>
              <w:snapToGrid/>
              <w:spacing w:line="400" w:lineRule="exact"/>
              <w:ind w:firstLine="236" w:firstLineChars="1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（3）多种形式实时显示相/线电压、三相电流、有功功率、无功功率、视在功率、功率因数、频率、有功电度、无功电度等电力参数以及母线的线电压和相电压;</w:t>
            </w:r>
          </w:p>
          <w:p>
            <w:pPr>
              <w:keepNext w:val="0"/>
              <w:keepLines w:val="0"/>
              <w:pageBreakBefore w:val="0"/>
              <w:kinsoku/>
              <w:wordWrap/>
              <w:overflowPunct/>
              <w:topLinePunct w:val="0"/>
              <w:autoSpaceDE/>
              <w:autoSpaceDN/>
              <w:bidi w:val="0"/>
              <w:adjustRightInd/>
              <w:snapToGrid/>
              <w:spacing w:line="400" w:lineRule="exact"/>
              <w:ind w:firstLine="236" w:firstLineChars="1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（4）实时显示变压器的各种运行状态,运行故障报警等信息;</w:t>
            </w:r>
          </w:p>
          <w:p>
            <w:pPr>
              <w:keepNext w:val="0"/>
              <w:keepLines w:val="0"/>
              <w:pageBreakBefore w:val="0"/>
              <w:kinsoku/>
              <w:wordWrap/>
              <w:overflowPunct/>
              <w:topLinePunct w:val="0"/>
              <w:autoSpaceDE/>
              <w:autoSpaceDN/>
              <w:bidi w:val="0"/>
              <w:adjustRightInd/>
              <w:snapToGrid/>
              <w:spacing w:line="400" w:lineRule="exact"/>
              <w:ind w:firstLine="236" w:firstLineChars="1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（5）实时根据相应的通讯接点和通信协议显示应急供电系统、直流电源系统故障报警信息; </w:t>
            </w:r>
          </w:p>
          <w:p>
            <w:pPr>
              <w:keepNext w:val="0"/>
              <w:keepLines w:val="0"/>
              <w:pageBreakBefore w:val="0"/>
              <w:kinsoku/>
              <w:wordWrap/>
              <w:overflowPunct/>
              <w:topLinePunct w:val="0"/>
              <w:autoSpaceDE/>
              <w:autoSpaceDN/>
              <w:bidi w:val="0"/>
              <w:adjustRightInd/>
              <w:snapToGrid/>
              <w:spacing w:line="400" w:lineRule="exact"/>
              <w:ind w:firstLine="236" w:firstLineChars="1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（6）后台遥控操作低压塑壳断路器(消防负荷除外)分离脱扣机构,完成塑壳断路器的分闸操作;记录操作员的姓名、操作时间及操作对象;</w:t>
            </w:r>
          </w:p>
          <w:p>
            <w:pPr>
              <w:keepNext w:val="0"/>
              <w:keepLines w:val="0"/>
              <w:pageBreakBefore w:val="0"/>
              <w:kinsoku/>
              <w:wordWrap/>
              <w:overflowPunct/>
              <w:topLinePunct w:val="0"/>
              <w:autoSpaceDE/>
              <w:autoSpaceDN/>
              <w:bidi w:val="0"/>
              <w:adjustRightInd/>
              <w:snapToGrid/>
              <w:spacing w:line="400" w:lineRule="exact"/>
              <w:ind w:firstLine="236" w:firstLineChars="1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（7）事故显示〔状态量的变位,模拟量的越限); </w:t>
            </w:r>
          </w:p>
          <w:p>
            <w:pPr>
              <w:keepNext w:val="0"/>
              <w:keepLines w:val="0"/>
              <w:pageBreakBefore w:val="0"/>
              <w:kinsoku/>
              <w:wordWrap/>
              <w:overflowPunct/>
              <w:topLinePunct w:val="0"/>
              <w:autoSpaceDE/>
              <w:autoSpaceDN/>
              <w:bidi w:val="0"/>
              <w:adjustRightInd/>
              <w:snapToGrid/>
              <w:spacing w:line="400" w:lineRule="exact"/>
              <w:ind w:firstLine="236" w:firstLineChars="100"/>
              <w:jc w:val="left"/>
              <w:textAlignment w:val="auto"/>
              <w:rPr>
                <w:rFonts w:hint="eastAsia" w:ascii="宋体" w:hAnsi="宋体" w:eastAsia="宋体" w:cs="宋体"/>
                <w:sz w:val="24"/>
                <w:szCs w:val="24"/>
              </w:rPr>
            </w:pPr>
            <w:r>
              <w:rPr>
                <w:rFonts w:hint="eastAsia" w:ascii="宋体" w:hAnsi="宋体" w:eastAsia="宋体" w:cs="宋体"/>
                <w:spacing w:val="-2"/>
                <w:sz w:val="24"/>
                <w:szCs w:val="24"/>
              </w:rPr>
              <w:t>（8）产生多种形式的报表。</w:t>
            </w:r>
            <w:r>
              <w:rPr>
                <w:rFonts w:hint="eastAsia" w:ascii="宋体" w:hAnsi="宋体" w:eastAsia="宋体" w:cs="宋体"/>
                <w:spacing w:val="-2"/>
                <w:sz w:val="24"/>
                <w:szCs w:val="24"/>
              </w:rPr>
              <w:tab/>
            </w:r>
            <w:r>
              <w:rPr>
                <w:rFonts w:hint="eastAsia" w:ascii="宋体" w:hAnsi="宋体" w:eastAsia="宋体" w:cs="宋体"/>
                <w:sz w:val="24"/>
                <w:szCs w:val="24"/>
              </w:rPr>
              <w:tab/>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spacing w:val="-2"/>
                <w:sz w:val="24"/>
                <w:szCs w:val="24"/>
              </w:rPr>
            </w:pPr>
            <w:r>
              <w:rPr>
                <w:rFonts w:hint="eastAsia" w:ascii="宋体" w:hAnsi="宋体" w:eastAsia="宋体" w:cs="宋体"/>
                <w:b/>
                <w:spacing w:val="-2"/>
                <w:sz w:val="24"/>
                <w:szCs w:val="24"/>
              </w:rPr>
              <w:t>18、微机监控台</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1）采用冷轧钢材质异型监控操作台。</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2）板材厚度：立梁≥1.2mm，其余≥1.0mm；</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3）工艺：脱脂、磷化、静电喷涂；</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4）尺寸：长1850mm、深640mm、高750mm、台面长900mm；</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5）配件：键盘抽屉、固定托盘等；</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6）沉重：大于200kg。</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pacing w:val="-2"/>
                <w:sz w:val="24"/>
                <w:szCs w:val="24"/>
              </w:rPr>
              <w:t>7） 配置工业控制计算机1台：处 理 器：CPU型号Intel</w:t>
            </w:r>
            <w:r>
              <w:rPr>
                <w:rFonts w:hint="eastAsia" w:ascii="宋体" w:hAnsi="宋体" w:eastAsia="宋体" w:cs="宋体"/>
                <w:color w:val="auto"/>
                <w:spacing w:val="-2"/>
                <w:sz w:val="24"/>
                <w:szCs w:val="24"/>
                <w:highlight w:val="none"/>
              </w:rPr>
              <w:t>≥</w:t>
            </w:r>
            <w:r>
              <w:rPr>
                <w:rFonts w:hint="eastAsia" w:ascii="宋体" w:hAnsi="宋体" w:eastAsia="宋体" w:cs="宋体"/>
                <w:spacing w:val="-2"/>
                <w:sz w:val="24"/>
                <w:szCs w:val="24"/>
                <w:highlight w:val="none"/>
              </w:rPr>
              <w:t>i5</w:t>
            </w:r>
            <w:r>
              <w:rPr>
                <w:rFonts w:hint="eastAsia" w:ascii="宋体" w:hAnsi="宋体" w:eastAsia="宋体" w:cs="宋体"/>
                <w:spacing w:val="-2"/>
                <w:sz w:val="24"/>
                <w:szCs w:val="24"/>
              </w:rPr>
              <w:t>；内存容量：4GB DDR4 2400MHz ；硬盘容量：500G  7200转 ；光驱类型：DVD刻录机；网卡；声卡；同时配备键盘、鼠标等1套；显示器：21.5吋。</w:t>
            </w:r>
            <w:r>
              <w:rPr>
                <w:rFonts w:hint="eastAsia" w:ascii="宋体" w:hAnsi="宋体" w:eastAsia="宋体" w:cs="宋体"/>
                <w:spacing w:val="-2"/>
                <w:sz w:val="24"/>
                <w:szCs w:val="24"/>
              </w:rPr>
              <w:tab/>
            </w:r>
            <w:r>
              <w:rPr>
                <w:rFonts w:hint="eastAsia" w:ascii="宋体" w:hAnsi="宋体" w:eastAsia="宋体" w:cs="宋体"/>
                <w:sz w:val="24"/>
                <w:szCs w:val="24"/>
              </w:rPr>
              <w:tab/>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spacing w:val="-2"/>
                <w:sz w:val="24"/>
                <w:szCs w:val="24"/>
              </w:rPr>
            </w:pPr>
            <w:r>
              <w:rPr>
                <w:rFonts w:hint="eastAsia" w:ascii="宋体" w:hAnsi="宋体" w:eastAsia="宋体" w:cs="宋体"/>
                <w:b/>
                <w:spacing w:val="-2"/>
                <w:sz w:val="24"/>
                <w:szCs w:val="24"/>
              </w:rPr>
              <w:t>19、微机型同期装置</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微机型同期装置：实现发电机组与无穷大系统并网操作。</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1）具有全自动准同期合闸和半自动准同期合闸功能。</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2）能进行断路器合闸时间测定，便于设置同期参数。</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3）测量频率、电压、电流等的误差小于0.5%。</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4）采用7英寸彩色电阻触摸屏显示，操控灵敏，可靠性高，800*480高像素显示屏可在同一屏显示发电机端和系统侧的电压、频率、相角以及滑差等。</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5）高像素显示屏图形化显示旋转向量。</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6）实验中自动记录合闸时的前后电压、电流、频率、相角等参数，用于同期参数设置校验和实验数据分析。</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7）实验中可记录合闸前后10周波的机端、系统的电压以及电流波形，并能调取存储波形回放。</w:t>
            </w:r>
          </w:p>
          <w:p>
            <w:pPr>
              <w:pStyle w:val="2"/>
              <w:ind w:left="0" w:leftChars="0" w:firstLine="0" w:firstLineChars="0"/>
              <w:rPr>
                <w:rFonts w:hint="eastAsia" w:ascii="宋体" w:hAnsi="宋体" w:eastAsia="宋体" w:cs="宋体"/>
                <w:spacing w:val="-2"/>
                <w:sz w:val="24"/>
                <w:szCs w:val="24"/>
              </w:rPr>
            </w:pPr>
            <w:r>
              <w:rPr>
                <w:rFonts w:hint="eastAsia" w:ascii="宋体" w:hAnsi="宋体" w:eastAsia="宋体" w:cs="宋体"/>
                <w:spacing w:val="-2"/>
                <w:sz w:val="24"/>
                <w:szCs w:val="24"/>
              </w:rPr>
              <w:t>8）装置配置多个通讯接口（2路光电隔离RS485通讯、一路RJ45网络接口），波特率设置范围为4800—57600。通讯协议开放，支持SCADA遥测、遥信功能，并能下载装置参数</w:t>
            </w:r>
            <w:r>
              <w:rPr>
                <w:rFonts w:hint="eastAsia" w:ascii="宋体" w:hAnsi="宋体" w:eastAsia="宋体" w:cs="宋体"/>
                <w:spacing w:val="-2"/>
                <w:sz w:val="24"/>
                <w:szCs w:val="24"/>
                <w:lang w:val="en-US" w:eastAsia="zh-CN"/>
              </w:rPr>
              <w:t>,</w:t>
            </w:r>
            <w:r>
              <w:rPr>
                <w:rFonts w:hint="eastAsia" w:ascii="宋体" w:hAnsi="宋体" w:eastAsia="宋体" w:cs="宋体"/>
                <w:b/>
                <w:bCs/>
                <w:strike w:val="0"/>
                <w:dstrike w:val="0"/>
                <w:color w:val="auto"/>
                <w:spacing w:val="-2"/>
                <w:sz w:val="24"/>
                <w:szCs w:val="24"/>
                <w:highlight w:val="none"/>
                <w:lang w:val="en-US" w:eastAsia="zh-CN"/>
              </w:rPr>
              <w:t>须</w:t>
            </w:r>
            <w:r>
              <w:rPr>
                <w:rFonts w:hint="eastAsia" w:ascii="宋体" w:hAnsi="宋体" w:eastAsia="宋体" w:cs="宋体"/>
                <w:b/>
                <w:bCs/>
                <w:strike w:val="0"/>
                <w:dstrike w:val="0"/>
                <w:color w:val="auto"/>
                <w:spacing w:val="-2"/>
                <w:sz w:val="24"/>
                <w:szCs w:val="24"/>
                <w:highlight w:val="none"/>
              </w:rPr>
              <w:t>提供国家认可的具有检测资质的检测机构出具的有效检测报告复印件</w:t>
            </w:r>
            <w:r>
              <w:rPr>
                <w:rFonts w:hint="eastAsia" w:ascii="宋体" w:hAnsi="宋体" w:eastAsia="宋体" w:cs="宋体"/>
                <w:color w:val="auto"/>
                <w:spacing w:val="-2"/>
                <w:sz w:val="24"/>
                <w:szCs w:val="24"/>
                <w:highlight w:val="none"/>
              </w:rPr>
              <w:t>。</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spacing w:val="-2"/>
                <w:sz w:val="24"/>
                <w:szCs w:val="24"/>
              </w:rPr>
            </w:pPr>
            <w:r>
              <w:rPr>
                <w:rFonts w:hint="eastAsia" w:ascii="宋体" w:hAnsi="宋体" w:eastAsia="宋体" w:cs="宋体"/>
                <w:b/>
                <w:bCs w:val="0"/>
                <w:spacing w:val="-2"/>
                <w:sz w:val="24"/>
                <w:szCs w:val="24"/>
              </w:rPr>
              <w:t>20、发变组故障录波仪</w:t>
            </w:r>
            <w:r>
              <w:rPr>
                <w:rFonts w:hint="eastAsia" w:ascii="宋体" w:hAnsi="宋体" w:eastAsia="宋体" w:cs="宋体"/>
                <w:b/>
                <w:spacing w:val="-2"/>
                <w:sz w:val="24"/>
                <w:szCs w:val="24"/>
                <w:highlight w:val="none"/>
              </w:rPr>
              <w:t>（</w:t>
            </w:r>
            <w:r>
              <w:rPr>
                <w:rFonts w:hint="eastAsia" w:ascii="宋体" w:hAnsi="宋体" w:eastAsia="宋体" w:cs="宋体"/>
                <w:b/>
                <w:spacing w:val="-2"/>
                <w:sz w:val="24"/>
                <w:szCs w:val="24"/>
                <w:highlight w:val="none"/>
                <w:lang w:val="en-US" w:eastAsia="zh-CN"/>
              </w:rPr>
              <w:t>须</w:t>
            </w:r>
            <w:r>
              <w:rPr>
                <w:rFonts w:hint="eastAsia" w:ascii="宋体" w:hAnsi="宋体" w:eastAsia="宋体" w:cs="宋体"/>
                <w:b/>
                <w:spacing w:val="-2"/>
                <w:sz w:val="24"/>
                <w:szCs w:val="24"/>
                <w:highlight w:val="none"/>
              </w:rPr>
              <w:t>提供样品）</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置于模拟变压器保护测控屏中。</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1）通过电力故障录波及分析装置可以将整个实验过程全部进行录波，学生做完实验后可以将整个实验过程进行视频回放，便于老师进行教学和实验过程分析，能够使学生更好的掌握所学知识点。</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2）参数指标：</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（1）12路模拟量同步采集，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 xml:space="preserve">（2）通道采样频率0-100 KHz可选。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 xml:space="preserve">（3）2路脉冲输入测量通道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 xml:space="preserve">（4）8路开关量测量通道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 xml:space="preserve">（5）开关量事件分辨率：0.1ms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 xml:space="preserve">（6）4路开关量输出通道，开出量最大开断能力AC220V/1A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 xml:space="preserve">（7）仪器自带512M内存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（8）AD转换精度：16位</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 xml:space="preserve">（9）电流、电压波形采样精度为0.1%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（10）具有10/100Mbps网口，</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 xml:space="preserve">（11）具备数据远传功能。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 xml:space="preserve">（12）故障回放模式下，可以存放12路20次录波数据，且每次录波时长大于等于5分钟。 故障录波波形可以选择不同的播放频进行故障回放。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spacing w:val="-2"/>
                <w:sz w:val="24"/>
                <w:szCs w:val="24"/>
              </w:rPr>
            </w:pPr>
            <w:r>
              <w:rPr>
                <w:rFonts w:hint="eastAsia" w:ascii="宋体" w:hAnsi="宋体" w:eastAsia="宋体" w:cs="宋体"/>
                <w:b/>
                <w:spacing w:val="-2"/>
                <w:sz w:val="24"/>
                <w:szCs w:val="24"/>
              </w:rPr>
              <w:t xml:space="preserve">21、线路故障录波仪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置于模拟线路保护测控屏中。</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1）通过电力故障录波及分析装置可以将整个实验过程全部进行录波，学生做完实验后可以将整个实验过程进行视频回放，便于老师进行教学和实验过程分析，能够使学生更好的掌握所学知识点。</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2）参数指标：</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（1）12路模拟量同步采集，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 xml:space="preserve">（2）通道采样频率0-100 KHz可选。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 xml:space="preserve">（3）2路脉冲输入测量通道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 xml:space="preserve">（4）8路开关量测量通道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 xml:space="preserve">（5）开关量事件分辨率：0.1ms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 xml:space="preserve">（6）4路开关量输出通道，开出量最大开断能力AC220V/1A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 xml:space="preserve">（7）仪器自带512M内存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（8）AD转换精度：16位</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 xml:space="preserve">（9）电流、电压波形采样精度为0.1%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（10）具有10/100Mbps网口</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 xml:space="preserve">（11）具备数据远传功能。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 xml:space="preserve">（12）故障回放模式下，可以存放12路20次录波数据，且每次录波 时长大于等于5分钟。 故障录波波形可以选择不同的播放频进行故障回放。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spacing w:val="-2"/>
                <w:sz w:val="24"/>
                <w:szCs w:val="24"/>
              </w:rPr>
            </w:pPr>
            <w:r>
              <w:rPr>
                <w:rFonts w:hint="eastAsia" w:ascii="宋体" w:hAnsi="宋体" w:eastAsia="宋体" w:cs="宋体"/>
                <w:b/>
                <w:spacing w:val="-2"/>
                <w:sz w:val="24"/>
                <w:szCs w:val="24"/>
              </w:rPr>
              <w:t>22、电力系统仿真计算软件</w:t>
            </w:r>
          </w:p>
          <w:p>
            <w:pPr>
              <w:keepNext w:val="0"/>
              <w:keepLines w:val="0"/>
              <w:pageBreakBefore w:val="0"/>
              <w:kinsoku/>
              <w:wordWrap/>
              <w:overflowPunct/>
              <w:topLinePunct w:val="0"/>
              <w:autoSpaceDE/>
              <w:autoSpaceDN/>
              <w:bidi w:val="0"/>
              <w:adjustRightInd/>
              <w:snapToGrid/>
              <w:spacing w:line="400" w:lineRule="exact"/>
              <w:ind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主要用于电网主结线图设计、潮流计算和短路计算，计算节点数不低于5000。主要包括如下模块：</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1）图模一体化组态功能：为了便于用户使用以及软件功能扩充，用户可以自行编辑图形界面以适应电网主接线(输电网、配电网、变电站)的潮流变化，可以添加删除设备，修改线路、主变压器、电容器和电抗器等各个设备的参数。该平台服务于仿真系统的各计算模块，在此之上可以进行各种分析计算，输出计算结果。</w:t>
            </w:r>
          </w:p>
          <w:p>
            <w:pPr>
              <w:keepNext w:val="0"/>
              <w:keepLines w:val="0"/>
              <w:pageBreakBefore w:val="0"/>
              <w:kinsoku/>
              <w:wordWrap/>
              <w:overflowPunct/>
              <w:topLinePunct w:val="0"/>
              <w:autoSpaceDE/>
              <w:autoSpaceDN/>
              <w:bidi w:val="0"/>
              <w:adjustRightInd/>
              <w:snapToGrid/>
              <w:spacing w:line="400" w:lineRule="exact"/>
              <w:ind w:firstLine="236" w:firstLineChars="1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（1）组态功能可自由选择电源、母线、变压器、线路、负载，且可以对选择的元件进行移动、缩放、旋转、删除及参数设置，以建立各种模型，形成各种计算的模型库；</w:t>
            </w:r>
          </w:p>
          <w:p>
            <w:pPr>
              <w:keepNext w:val="0"/>
              <w:keepLines w:val="0"/>
              <w:pageBreakBefore w:val="0"/>
              <w:kinsoku/>
              <w:wordWrap/>
              <w:overflowPunct/>
              <w:topLinePunct w:val="0"/>
              <w:autoSpaceDE/>
              <w:autoSpaceDN/>
              <w:bidi w:val="0"/>
              <w:adjustRightInd/>
              <w:snapToGrid/>
              <w:spacing w:line="400" w:lineRule="exact"/>
              <w:ind w:firstLine="236" w:firstLineChars="1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（2）用户可以方便地建立电网数据、绘制电网图形、进行各种分析计算。人机界面友好，操作方便；</w:t>
            </w:r>
          </w:p>
          <w:p>
            <w:pPr>
              <w:keepNext w:val="0"/>
              <w:keepLines w:val="0"/>
              <w:pageBreakBefore w:val="0"/>
              <w:kinsoku/>
              <w:wordWrap/>
              <w:overflowPunct/>
              <w:topLinePunct w:val="0"/>
              <w:autoSpaceDE/>
              <w:autoSpaceDN/>
              <w:bidi w:val="0"/>
              <w:adjustRightInd/>
              <w:snapToGrid/>
              <w:spacing w:line="400" w:lineRule="exact"/>
              <w:ind w:firstLine="236" w:firstLineChars="1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（3）可以绘制各种电网图形，包括厂站主接线图等；</w:t>
            </w:r>
          </w:p>
          <w:p>
            <w:pPr>
              <w:keepNext w:val="0"/>
              <w:keepLines w:val="0"/>
              <w:pageBreakBefore w:val="0"/>
              <w:kinsoku/>
              <w:wordWrap/>
              <w:overflowPunct/>
              <w:topLinePunct w:val="0"/>
              <w:autoSpaceDE/>
              <w:autoSpaceDN/>
              <w:bidi w:val="0"/>
              <w:adjustRightInd/>
              <w:snapToGrid/>
              <w:spacing w:line="400" w:lineRule="exact"/>
              <w:ind w:firstLine="236" w:firstLineChars="1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（4）各种电网图形基于统一的图形组态定义，实现各类元件图元样式的灵活定义和扩展；</w:t>
            </w:r>
          </w:p>
          <w:p>
            <w:pPr>
              <w:keepNext w:val="0"/>
              <w:keepLines w:val="0"/>
              <w:pageBreakBefore w:val="0"/>
              <w:kinsoku/>
              <w:wordWrap/>
              <w:overflowPunct/>
              <w:topLinePunct w:val="0"/>
              <w:autoSpaceDE/>
              <w:autoSpaceDN/>
              <w:bidi w:val="0"/>
              <w:adjustRightInd/>
              <w:snapToGrid/>
              <w:spacing w:line="400" w:lineRule="exact"/>
              <w:ind w:firstLine="236" w:firstLineChars="1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（5）保证图形显示和分析计算的高效性；并可提供数据输出接口，便于仿真系统的验证应用。</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2）计算分析功能：能根据图形组态形成的电网系统，自行形成电力网络拓扑图，便于进行计算分析。</w:t>
            </w:r>
          </w:p>
          <w:p>
            <w:pPr>
              <w:keepNext w:val="0"/>
              <w:keepLines w:val="0"/>
              <w:pageBreakBefore w:val="0"/>
              <w:kinsoku/>
              <w:wordWrap/>
              <w:overflowPunct/>
              <w:topLinePunct w:val="0"/>
              <w:autoSpaceDE/>
              <w:autoSpaceDN/>
              <w:bidi w:val="0"/>
              <w:adjustRightInd/>
              <w:snapToGrid/>
              <w:spacing w:line="400" w:lineRule="exact"/>
              <w:ind w:firstLine="236" w:firstLineChars="1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（1）等效电源可设置参数包括输出有功、输出无功、正序电阻、正序电抗、负序电阻、负序电抗、零序电阻、零序电抗；</w:t>
            </w:r>
          </w:p>
          <w:p>
            <w:pPr>
              <w:keepNext w:val="0"/>
              <w:keepLines w:val="0"/>
              <w:pageBreakBefore w:val="0"/>
              <w:kinsoku/>
              <w:wordWrap/>
              <w:overflowPunct/>
              <w:topLinePunct w:val="0"/>
              <w:autoSpaceDE/>
              <w:autoSpaceDN/>
              <w:bidi w:val="0"/>
              <w:adjustRightInd/>
              <w:snapToGrid/>
              <w:spacing w:line="400" w:lineRule="exact"/>
              <w:ind w:firstLine="236" w:firstLineChars="1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（2）断路器可设置参数包括：遮断容量、名称，断路器类型等；</w:t>
            </w:r>
          </w:p>
          <w:p>
            <w:pPr>
              <w:keepNext w:val="0"/>
              <w:keepLines w:val="0"/>
              <w:pageBreakBefore w:val="0"/>
              <w:kinsoku/>
              <w:wordWrap/>
              <w:overflowPunct/>
              <w:topLinePunct w:val="0"/>
              <w:autoSpaceDE/>
              <w:autoSpaceDN/>
              <w:bidi w:val="0"/>
              <w:adjustRightInd/>
              <w:snapToGrid/>
              <w:spacing w:line="400" w:lineRule="exact"/>
              <w:ind w:firstLine="236" w:firstLineChars="1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（3）母线可设置参数包括：母线名称、电压等级、高限值、低限值等；</w:t>
            </w:r>
          </w:p>
          <w:p>
            <w:pPr>
              <w:keepNext w:val="0"/>
              <w:keepLines w:val="0"/>
              <w:pageBreakBefore w:val="0"/>
              <w:kinsoku/>
              <w:wordWrap/>
              <w:overflowPunct/>
              <w:topLinePunct w:val="0"/>
              <w:autoSpaceDE/>
              <w:autoSpaceDN/>
              <w:bidi w:val="0"/>
              <w:adjustRightInd/>
              <w:snapToGrid/>
              <w:spacing w:line="400" w:lineRule="exact"/>
              <w:ind w:firstLine="236" w:firstLineChars="1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（4）互感器可设置参数包括：互感器名称、一次标准值、二次标准值、同名端等；</w:t>
            </w:r>
          </w:p>
          <w:p>
            <w:pPr>
              <w:keepNext w:val="0"/>
              <w:keepLines w:val="0"/>
              <w:pageBreakBefore w:val="0"/>
              <w:kinsoku/>
              <w:wordWrap/>
              <w:overflowPunct/>
              <w:topLinePunct w:val="0"/>
              <w:autoSpaceDE/>
              <w:autoSpaceDN/>
              <w:bidi w:val="0"/>
              <w:adjustRightInd/>
              <w:snapToGrid/>
              <w:spacing w:line="400" w:lineRule="exact"/>
              <w:ind w:firstLine="236" w:firstLineChars="1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（5）线路可设置参数包括线路型号、线路长度、正序电阻、正序电抗、零序电阻、零序电抗；</w:t>
            </w:r>
          </w:p>
          <w:p>
            <w:pPr>
              <w:keepNext w:val="0"/>
              <w:keepLines w:val="0"/>
              <w:pageBreakBefore w:val="0"/>
              <w:kinsoku/>
              <w:wordWrap/>
              <w:overflowPunct/>
              <w:topLinePunct w:val="0"/>
              <w:autoSpaceDE/>
              <w:autoSpaceDN/>
              <w:bidi w:val="0"/>
              <w:adjustRightInd/>
              <w:snapToGrid/>
              <w:spacing w:line="400" w:lineRule="exact"/>
              <w:ind w:firstLine="236" w:firstLineChars="1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（6）变压器可设置参数包括：容量、高压铭牌电压、低压铭牌电压、调压分接头档位数、调压步长、高低压线圈接法、接线时钟、短路损耗、短路电压比等。</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3）潮流计算功能：根据仿真变电站的主接线图，利用牛顿—拉夫逊方法计算分析系统的各点各线的正常潮流。</w:t>
            </w:r>
          </w:p>
          <w:p>
            <w:pPr>
              <w:keepNext w:val="0"/>
              <w:keepLines w:val="0"/>
              <w:pageBreakBefore w:val="0"/>
              <w:kinsoku/>
              <w:wordWrap/>
              <w:overflowPunct/>
              <w:topLinePunct w:val="0"/>
              <w:autoSpaceDE/>
              <w:autoSpaceDN/>
              <w:bidi w:val="0"/>
              <w:adjustRightInd/>
              <w:snapToGrid/>
              <w:spacing w:line="400" w:lineRule="exact"/>
              <w:ind w:firstLine="236" w:firstLineChars="1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（1）可设置平衡节点；</w:t>
            </w:r>
          </w:p>
          <w:p>
            <w:pPr>
              <w:keepNext w:val="0"/>
              <w:keepLines w:val="0"/>
              <w:pageBreakBefore w:val="0"/>
              <w:kinsoku/>
              <w:wordWrap/>
              <w:overflowPunct/>
              <w:topLinePunct w:val="0"/>
              <w:autoSpaceDE/>
              <w:autoSpaceDN/>
              <w:bidi w:val="0"/>
              <w:adjustRightInd/>
              <w:snapToGrid/>
              <w:spacing w:line="400" w:lineRule="exact"/>
              <w:ind w:firstLine="236" w:firstLineChars="1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（2）可在母线处设置PQ节点和PV节点；</w:t>
            </w:r>
          </w:p>
          <w:p>
            <w:pPr>
              <w:keepNext w:val="0"/>
              <w:keepLines w:val="0"/>
              <w:pageBreakBefore w:val="0"/>
              <w:kinsoku/>
              <w:wordWrap/>
              <w:overflowPunct/>
              <w:topLinePunct w:val="0"/>
              <w:autoSpaceDE/>
              <w:autoSpaceDN/>
              <w:bidi w:val="0"/>
              <w:adjustRightInd/>
              <w:snapToGrid/>
              <w:spacing w:line="400" w:lineRule="exact"/>
              <w:ind w:firstLine="236" w:firstLineChars="1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（3）潮流计算前能自动进行全网的拓扑分析；</w:t>
            </w:r>
          </w:p>
          <w:p>
            <w:pPr>
              <w:keepNext w:val="0"/>
              <w:keepLines w:val="0"/>
              <w:pageBreakBefore w:val="0"/>
              <w:kinsoku/>
              <w:wordWrap/>
              <w:overflowPunct/>
              <w:topLinePunct w:val="0"/>
              <w:autoSpaceDE/>
              <w:autoSpaceDN/>
              <w:bidi w:val="0"/>
              <w:adjustRightInd/>
              <w:snapToGrid/>
              <w:spacing w:line="400" w:lineRule="exact"/>
              <w:ind w:firstLine="236" w:firstLineChars="1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4）提供潮流数据检查功能，可对母线设置电压上下限，对线路设置电流限值，对变压器设置功率限值，包括检查全网拓扑结构、各元件带电状态并可对发电、负荷按区域和全网进行计算。潮流计算结果中自动显示过载、越限信息；</w:t>
            </w:r>
          </w:p>
          <w:p>
            <w:pPr>
              <w:keepNext w:val="0"/>
              <w:keepLines w:val="0"/>
              <w:pageBreakBefore w:val="0"/>
              <w:kinsoku/>
              <w:wordWrap/>
              <w:overflowPunct/>
              <w:topLinePunct w:val="0"/>
              <w:autoSpaceDE/>
              <w:autoSpaceDN/>
              <w:bidi w:val="0"/>
              <w:adjustRightInd/>
              <w:snapToGrid/>
              <w:spacing w:line="400" w:lineRule="exact"/>
              <w:ind w:firstLine="236" w:firstLineChars="1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（5）可以表格的方式，输出显示电力系统各元件的潮流计算结果；</w:t>
            </w:r>
          </w:p>
          <w:p>
            <w:pPr>
              <w:keepNext w:val="0"/>
              <w:keepLines w:val="0"/>
              <w:pageBreakBefore w:val="0"/>
              <w:kinsoku/>
              <w:wordWrap/>
              <w:overflowPunct/>
              <w:topLinePunct w:val="0"/>
              <w:autoSpaceDE/>
              <w:autoSpaceDN/>
              <w:bidi w:val="0"/>
              <w:adjustRightInd/>
              <w:snapToGrid/>
              <w:spacing w:line="400" w:lineRule="exact"/>
              <w:ind w:firstLine="236" w:firstLineChars="1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6）潮流计算结果包括：母线电压、线路Pij、线路Qij、线路Pji、线路Qji、线路有功损耗、线路无功损耗、线路电流、变压器高压侧有功/无功、变压器低压侧有功/无功、变压器高/低压侧电流、负荷有功、负荷无功、负荷电流、电源有功、电源无功、电源电流等数据。</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4）短路计算功能：根据仿真变电站的主接线图上设定的故障类型，计算系统故障时的电压、电流。</w:t>
            </w:r>
          </w:p>
          <w:p>
            <w:pPr>
              <w:keepNext w:val="0"/>
              <w:keepLines w:val="0"/>
              <w:pageBreakBefore w:val="0"/>
              <w:kinsoku/>
              <w:wordWrap/>
              <w:overflowPunct/>
              <w:topLinePunct w:val="0"/>
              <w:autoSpaceDE/>
              <w:autoSpaceDN/>
              <w:bidi w:val="0"/>
              <w:adjustRightInd/>
              <w:snapToGrid/>
              <w:spacing w:line="400" w:lineRule="exact"/>
              <w:ind w:firstLine="236" w:firstLineChars="1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（1）可实现的功能：故障点可设置在变压器、母线、线路；</w:t>
            </w:r>
          </w:p>
          <w:p>
            <w:pPr>
              <w:keepNext w:val="0"/>
              <w:keepLines w:val="0"/>
              <w:pageBreakBefore w:val="0"/>
              <w:kinsoku/>
              <w:wordWrap/>
              <w:overflowPunct/>
              <w:topLinePunct w:val="0"/>
              <w:autoSpaceDE/>
              <w:autoSpaceDN/>
              <w:bidi w:val="0"/>
              <w:adjustRightInd/>
              <w:snapToGrid/>
              <w:spacing w:line="400" w:lineRule="exact"/>
              <w:ind w:firstLine="236" w:firstLineChars="1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（2）故障类型不少于7种；</w:t>
            </w:r>
          </w:p>
          <w:p>
            <w:pPr>
              <w:keepNext w:val="0"/>
              <w:keepLines w:val="0"/>
              <w:pageBreakBefore w:val="0"/>
              <w:kinsoku/>
              <w:wordWrap/>
              <w:overflowPunct/>
              <w:topLinePunct w:val="0"/>
              <w:autoSpaceDE/>
              <w:autoSpaceDN/>
              <w:bidi w:val="0"/>
              <w:adjustRightInd/>
              <w:snapToGrid/>
              <w:spacing w:line="400" w:lineRule="exact"/>
              <w:ind w:firstLine="236" w:firstLineChars="1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（3）可设置永久性故障和瞬时性故障；</w:t>
            </w:r>
          </w:p>
          <w:p>
            <w:pPr>
              <w:keepNext w:val="0"/>
              <w:keepLines w:val="0"/>
              <w:pageBreakBefore w:val="0"/>
              <w:kinsoku/>
              <w:wordWrap/>
              <w:overflowPunct/>
              <w:topLinePunct w:val="0"/>
              <w:autoSpaceDE/>
              <w:autoSpaceDN/>
              <w:bidi w:val="0"/>
              <w:adjustRightInd/>
              <w:snapToGrid/>
              <w:spacing w:line="400" w:lineRule="exact"/>
              <w:ind w:firstLine="236" w:firstLineChars="1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（4）故障位置可设置范围为整个设备的全长；</w:t>
            </w:r>
          </w:p>
          <w:p>
            <w:pPr>
              <w:keepNext w:val="0"/>
              <w:keepLines w:val="0"/>
              <w:pageBreakBefore w:val="0"/>
              <w:kinsoku/>
              <w:wordWrap/>
              <w:overflowPunct/>
              <w:topLinePunct w:val="0"/>
              <w:autoSpaceDE/>
              <w:autoSpaceDN/>
              <w:bidi w:val="0"/>
              <w:adjustRightInd/>
              <w:snapToGrid/>
              <w:spacing w:line="400" w:lineRule="exact"/>
              <w:ind w:firstLine="236" w:firstLineChars="1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（5）线路故障可设置过渡电阻Rf和Rg；</w:t>
            </w:r>
          </w:p>
          <w:p>
            <w:pPr>
              <w:keepNext w:val="0"/>
              <w:keepLines w:val="0"/>
              <w:pageBreakBefore w:val="0"/>
              <w:kinsoku/>
              <w:wordWrap/>
              <w:overflowPunct/>
              <w:topLinePunct w:val="0"/>
              <w:autoSpaceDE/>
              <w:autoSpaceDN/>
              <w:bidi w:val="0"/>
              <w:adjustRightInd/>
              <w:snapToGrid/>
              <w:spacing w:line="400" w:lineRule="exact"/>
              <w:ind w:firstLine="236" w:firstLineChars="1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（6）短路计算结果包括：各母线残压、各母线零序电压、线路各相电流、零序电流、变压器高低压侧电流、各电流电压相对相位等。</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5）本项目提供不低于30个账号。</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spacing w:val="-2"/>
                <w:sz w:val="24"/>
                <w:szCs w:val="24"/>
              </w:rPr>
            </w:pPr>
            <w:r>
              <w:rPr>
                <w:rFonts w:hint="eastAsia" w:ascii="宋体" w:hAnsi="宋体" w:eastAsia="宋体" w:cs="宋体"/>
                <w:b/>
                <w:spacing w:val="-2"/>
                <w:sz w:val="24"/>
                <w:szCs w:val="24"/>
              </w:rPr>
              <w:t>23、虚拟电力自动化实验在线平台软件</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lang w:val="en-US" w:eastAsia="zh-CN"/>
              </w:rPr>
              <w:t>1</w:t>
            </w:r>
            <w:r>
              <w:rPr>
                <w:rFonts w:hint="eastAsia" w:ascii="宋体" w:hAnsi="宋体" w:eastAsia="宋体" w:cs="宋体"/>
                <w:spacing w:val="-2"/>
                <w:sz w:val="24"/>
                <w:szCs w:val="24"/>
              </w:rPr>
              <w:t>）逼真再现电力系统综合自动化实验系统各环节操作过程和运行状态，让学生了解实验系统的原理、构成，在虚拟平台进行实验操作完成实验预习、虚拟在线实验。参数需求：</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lang w:val="en-US" w:eastAsia="zh-CN"/>
              </w:rPr>
              <w:t>2</w:t>
            </w:r>
            <w:r>
              <w:rPr>
                <w:rFonts w:hint="eastAsia" w:ascii="宋体" w:hAnsi="宋体" w:eastAsia="宋体" w:cs="宋体"/>
                <w:spacing w:val="-2"/>
                <w:sz w:val="24"/>
                <w:szCs w:val="24"/>
              </w:rPr>
              <w:t>）全程真实场景化教学，自动装置操作界面与实验台完全一致，实验模型与实验台统一，可以清晰展示现代电力系统电能发出和输送全过程的工作原理。学习发电机启机并网操作，掌握电力系统故障分析的方法。</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lang w:val="en-US" w:eastAsia="zh-CN"/>
              </w:rPr>
              <w:t>3</w:t>
            </w:r>
            <w:r>
              <w:rPr>
                <w:rFonts w:hint="eastAsia" w:ascii="宋体" w:hAnsi="宋体" w:eastAsia="宋体" w:cs="宋体"/>
                <w:spacing w:val="-2"/>
                <w:sz w:val="24"/>
                <w:szCs w:val="24"/>
              </w:rPr>
              <w:t>）虚拟实验平台上调速装置、励磁装置、同期装置、保护装置等自动装置操作界面与电力系统综合自动化实验系统一致。</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lang w:val="en-US" w:eastAsia="zh-CN"/>
              </w:rPr>
              <w:t>4</w:t>
            </w:r>
            <w:r>
              <w:rPr>
                <w:rFonts w:hint="eastAsia" w:ascii="宋体" w:hAnsi="宋体" w:eastAsia="宋体" w:cs="宋体"/>
                <w:spacing w:val="-2"/>
                <w:sz w:val="24"/>
                <w:szCs w:val="24"/>
              </w:rPr>
              <w:t>）在虚拟实验平台可完成发电机组的起动与运转实验、准同期并列运行实验、同步发电机励磁控制实验、电力系统稳定性实验、功率特性和功率极限测定实验、单机带负荷实验等实验。</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lang w:val="en-US" w:eastAsia="zh-CN"/>
              </w:rPr>
              <w:t>5</w:t>
            </w:r>
            <w:r>
              <w:rPr>
                <w:rFonts w:hint="eastAsia" w:ascii="宋体" w:hAnsi="宋体" w:eastAsia="宋体" w:cs="宋体"/>
                <w:spacing w:val="-2"/>
                <w:sz w:val="24"/>
                <w:szCs w:val="24"/>
              </w:rPr>
              <w:t>）可以观看各个实验的操作讲解视频。</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lang w:val="en-US" w:eastAsia="zh-CN"/>
              </w:rPr>
              <w:t>6</w:t>
            </w:r>
            <w:r>
              <w:rPr>
                <w:rFonts w:hint="eastAsia" w:ascii="宋体" w:hAnsi="宋体" w:eastAsia="宋体" w:cs="宋体"/>
                <w:spacing w:val="-2"/>
                <w:sz w:val="24"/>
                <w:szCs w:val="24"/>
              </w:rPr>
              <w:t>）本项目提供不低于30个账号。</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spacing w:val="-2"/>
                <w:sz w:val="24"/>
                <w:szCs w:val="24"/>
              </w:rPr>
            </w:pPr>
            <w:r>
              <w:rPr>
                <w:rFonts w:hint="eastAsia" w:ascii="宋体" w:hAnsi="宋体" w:eastAsia="宋体" w:cs="宋体"/>
                <w:b/>
                <w:spacing w:val="-2"/>
                <w:sz w:val="24"/>
                <w:szCs w:val="24"/>
              </w:rPr>
              <w:t>24、电缆及其附件</w:t>
            </w:r>
          </w:p>
          <w:p>
            <w:pPr>
              <w:keepNext w:val="0"/>
              <w:keepLines w:val="0"/>
              <w:pageBreakBefore w:val="0"/>
              <w:kinsoku/>
              <w:wordWrap/>
              <w:overflowPunct/>
              <w:topLinePunct w:val="0"/>
              <w:autoSpaceDE/>
              <w:autoSpaceDN/>
              <w:bidi w:val="0"/>
              <w:adjustRightInd/>
              <w:snapToGrid/>
              <w:spacing w:line="400" w:lineRule="exact"/>
              <w:ind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电力电缆、电流测量电缆、电压测量电缆、控制电缆、通讯电缆、网线等及其电缆接线附件和电缆走线的桥架，满足本实验室的建设要求。</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spacing w:val="-2"/>
                <w:sz w:val="24"/>
                <w:szCs w:val="24"/>
              </w:rPr>
            </w:pPr>
            <w:r>
              <w:rPr>
                <w:rFonts w:hint="eastAsia" w:ascii="宋体" w:hAnsi="宋体" w:eastAsia="宋体" w:cs="宋体"/>
                <w:b/>
                <w:spacing w:val="-2"/>
                <w:sz w:val="24"/>
                <w:szCs w:val="24"/>
              </w:rPr>
              <w:t>25、工程安装</w:t>
            </w:r>
          </w:p>
          <w:p>
            <w:pPr>
              <w:keepNext w:val="0"/>
              <w:keepLines w:val="0"/>
              <w:pageBreakBefore w:val="0"/>
              <w:kinsoku/>
              <w:wordWrap/>
              <w:overflowPunct/>
              <w:topLinePunct w:val="0"/>
              <w:autoSpaceDE/>
              <w:autoSpaceDN/>
              <w:bidi w:val="0"/>
              <w:adjustRightInd/>
              <w:snapToGrid/>
              <w:spacing w:line="400" w:lineRule="exact"/>
              <w:ind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设备的就位、电缆桥架的安装；一次电缆、二次电缆的敷设；屏体的电缆接线；动力电源、操作电源、TV、TA等设备的检查；保护装置、录波仪等装置的安装检测等。</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spacing w:val="-2"/>
                <w:sz w:val="24"/>
                <w:szCs w:val="24"/>
              </w:rPr>
            </w:pPr>
            <w:r>
              <w:rPr>
                <w:rFonts w:hint="eastAsia" w:ascii="宋体" w:hAnsi="宋体" w:eastAsia="宋体" w:cs="宋体"/>
                <w:b/>
                <w:spacing w:val="-2"/>
                <w:sz w:val="24"/>
                <w:szCs w:val="24"/>
              </w:rPr>
              <w:t>26、系统调试</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远程测量和操作控制；微机的遥测、遥信、遥控、遥调；系统联调；各种故障试验等；系统资料。</w:t>
            </w:r>
          </w:p>
          <w:p>
            <w:pPr>
              <w:keepNext w:val="0"/>
              <w:keepLines w:val="0"/>
              <w:pageBreakBefore w:val="0"/>
              <w:kinsoku/>
              <w:wordWrap/>
              <w:overflowPunct/>
              <w:topLinePunct w:val="0"/>
              <w:autoSpaceDE/>
              <w:autoSpaceDN/>
              <w:bidi w:val="0"/>
              <w:adjustRightInd/>
              <w:snapToGrid/>
              <w:spacing w:line="400" w:lineRule="exact"/>
              <w:ind w:firstLine="120" w:firstLineChars="50"/>
              <w:jc w:val="left"/>
              <w:textAlignment w:val="auto"/>
              <w:rPr>
                <w:rFonts w:hint="eastAsia" w:ascii="宋体" w:hAnsi="宋体" w:eastAsia="宋体" w:cs="宋体"/>
                <w:b/>
                <w:sz w:val="24"/>
                <w:szCs w:val="24"/>
              </w:rPr>
            </w:pPr>
            <w:r>
              <w:rPr>
                <w:rFonts w:hint="eastAsia" w:ascii="宋体" w:hAnsi="宋体" w:eastAsia="宋体" w:cs="宋体"/>
                <w:b/>
                <w:sz w:val="24"/>
                <w:szCs w:val="24"/>
              </w:rPr>
              <w:t>三、可完成实验</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spacing w:val="-2"/>
                <w:sz w:val="24"/>
                <w:szCs w:val="24"/>
              </w:rPr>
            </w:pPr>
            <w:r>
              <w:rPr>
                <w:rFonts w:hint="eastAsia" w:ascii="宋体" w:hAnsi="宋体" w:eastAsia="宋体" w:cs="宋体"/>
                <w:b/>
                <w:spacing w:val="-2"/>
                <w:sz w:val="24"/>
                <w:szCs w:val="24"/>
              </w:rPr>
              <w:t>1、针对本科可做实验：</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1)</w:t>
            </w:r>
            <w:r>
              <w:rPr>
                <w:rFonts w:hint="eastAsia" w:ascii="宋体" w:hAnsi="宋体" w:eastAsia="宋体" w:cs="宋体"/>
                <w:spacing w:val="-2"/>
                <w:sz w:val="24"/>
                <w:szCs w:val="24"/>
              </w:rPr>
              <w:tab/>
            </w:r>
            <w:r>
              <w:rPr>
                <w:rFonts w:hint="eastAsia" w:ascii="宋体" w:hAnsi="宋体" w:eastAsia="宋体" w:cs="宋体"/>
                <w:spacing w:val="-2"/>
                <w:sz w:val="24"/>
                <w:szCs w:val="24"/>
              </w:rPr>
              <w:t>电力系统运行实验：发电机启动和调整实验；恒定越前时间测试；电力系统运行方式实验；电力系统负荷调整实验；速器调差特性试验；甩负荷实验。</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2)</w:t>
            </w:r>
            <w:r>
              <w:rPr>
                <w:rFonts w:hint="eastAsia" w:ascii="宋体" w:hAnsi="宋体" w:eastAsia="宋体" w:cs="宋体"/>
                <w:spacing w:val="-2"/>
                <w:sz w:val="24"/>
                <w:szCs w:val="24"/>
              </w:rPr>
              <w:tab/>
            </w:r>
            <w:r>
              <w:rPr>
                <w:rFonts w:hint="eastAsia" w:ascii="宋体" w:hAnsi="宋体" w:eastAsia="宋体" w:cs="宋体"/>
                <w:spacing w:val="-2"/>
                <w:sz w:val="24"/>
                <w:szCs w:val="24"/>
              </w:rPr>
              <w:t>电力系统分析实验：电力系统潮流计算分析实验；切线路、切负荷等稳定实验。</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3)</w:t>
            </w:r>
            <w:r>
              <w:rPr>
                <w:rFonts w:hint="eastAsia" w:ascii="宋体" w:hAnsi="宋体" w:eastAsia="宋体" w:cs="宋体"/>
                <w:spacing w:val="-2"/>
                <w:sz w:val="24"/>
                <w:szCs w:val="24"/>
              </w:rPr>
              <w:tab/>
            </w:r>
            <w:r>
              <w:rPr>
                <w:rFonts w:hint="eastAsia" w:ascii="宋体" w:hAnsi="宋体" w:eastAsia="宋体" w:cs="宋体"/>
                <w:spacing w:val="-2"/>
                <w:sz w:val="24"/>
                <w:szCs w:val="24"/>
              </w:rPr>
              <w:t>调度自动化实验：电力系统实时监控；电力系统有功功率调整；电力系统无功功率调整；电网运行方式变化。</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4)</w:t>
            </w:r>
            <w:r>
              <w:rPr>
                <w:rFonts w:hint="eastAsia" w:ascii="宋体" w:hAnsi="宋体" w:eastAsia="宋体" w:cs="宋体"/>
                <w:spacing w:val="-2"/>
                <w:sz w:val="24"/>
                <w:szCs w:val="24"/>
              </w:rPr>
              <w:tab/>
            </w:r>
            <w:r>
              <w:rPr>
                <w:rFonts w:hint="eastAsia" w:ascii="宋体" w:hAnsi="宋体" w:eastAsia="宋体" w:cs="宋体"/>
                <w:spacing w:val="-2"/>
                <w:sz w:val="24"/>
                <w:szCs w:val="24"/>
              </w:rPr>
              <w:t>同步发电机微机励磁实验：不同a（控制角）的励磁电压测试实验；同步发电机起励实验；控制方式及其相互切换实验；灭磁实验；伏赫限制实验；欠励限制实验；调差特性实验；过励限制实验。</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5)</w:t>
            </w:r>
            <w:r>
              <w:rPr>
                <w:rFonts w:hint="eastAsia" w:ascii="宋体" w:hAnsi="宋体" w:eastAsia="宋体" w:cs="宋体"/>
                <w:spacing w:val="-2"/>
                <w:sz w:val="24"/>
                <w:szCs w:val="24"/>
              </w:rPr>
              <w:tab/>
            </w:r>
            <w:r>
              <w:rPr>
                <w:rFonts w:hint="eastAsia" w:ascii="宋体" w:hAnsi="宋体" w:eastAsia="宋体" w:cs="宋体"/>
                <w:spacing w:val="-2"/>
                <w:sz w:val="24"/>
                <w:szCs w:val="24"/>
              </w:rPr>
              <w:t>准同期并列实验：准同期条件整定；手动准同期并列实验；半自动准同期并列实验；全自动准同期并列实验；偏离准同期并列条件合闸实验；</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6)</w:t>
            </w:r>
            <w:r>
              <w:rPr>
                <w:rFonts w:hint="eastAsia" w:ascii="宋体" w:hAnsi="宋体" w:eastAsia="宋体" w:cs="宋体"/>
                <w:spacing w:val="-2"/>
                <w:sz w:val="24"/>
                <w:szCs w:val="24"/>
              </w:rPr>
              <w:tab/>
            </w:r>
            <w:r>
              <w:rPr>
                <w:rFonts w:hint="eastAsia" w:ascii="宋体" w:hAnsi="宋体" w:eastAsia="宋体" w:cs="宋体"/>
                <w:spacing w:val="-2"/>
                <w:sz w:val="24"/>
                <w:szCs w:val="24"/>
              </w:rPr>
              <w:t>电力系统继电保护实验：</w:t>
            </w:r>
          </w:p>
          <w:p>
            <w:pPr>
              <w:keepNext w:val="0"/>
              <w:keepLines w:val="0"/>
              <w:pageBreakBefore w:val="0"/>
              <w:kinsoku/>
              <w:wordWrap/>
              <w:overflowPunct/>
              <w:topLinePunct w:val="0"/>
              <w:autoSpaceDE/>
              <w:autoSpaceDN/>
              <w:bidi w:val="0"/>
              <w:adjustRightInd/>
              <w:snapToGrid/>
              <w:spacing w:line="400" w:lineRule="exact"/>
              <w:ind w:firstLine="236" w:firstLineChars="1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1）220kV及以下电压等级的线路保护实验；（能分别建立110kV、35kV和10kV三种电压等级实验线路模型，可在由长距离线路和短距离环网线路组成的模拟系统中进行各种工况下的试验。保护区内外金属性故障，区内外经过渡电阻短路和手合故障线路，弱馈线路保护试验。）</w:t>
            </w:r>
          </w:p>
          <w:p>
            <w:pPr>
              <w:keepNext w:val="0"/>
              <w:keepLines w:val="0"/>
              <w:pageBreakBefore w:val="0"/>
              <w:kinsoku/>
              <w:wordWrap/>
              <w:overflowPunct/>
              <w:topLinePunct w:val="0"/>
              <w:autoSpaceDE/>
              <w:autoSpaceDN/>
              <w:bidi w:val="0"/>
              <w:adjustRightInd/>
              <w:snapToGrid/>
              <w:spacing w:line="400" w:lineRule="exact"/>
              <w:ind w:firstLine="236" w:firstLineChars="1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（2）变压器主保护实验；（能进行变压器典型接线方式下的变压器空投、差动保护区内外金属性故障、变压器匝间故障等实验， TA、TV断线实验，以及投切低压侧电容器和电抗器。）；变压器后备保护实验；发电机保护实验；</w:t>
            </w:r>
          </w:p>
          <w:p>
            <w:pPr>
              <w:keepNext w:val="0"/>
              <w:keepLines w:val="0"/>
              <w:pageBreakBefore w:val="0"/>
              <w:kinsoku/>
              <w:wordWrap/>
              <w:overflowPunct/>
              <w:topLinePunct w:val="0"/>
              <w:autoSpaceDE/>
              <w:autoSpaceDN/>
              <w:bidi w:val="0"/>
              <w:adjustRightInd/>
              <w:snapToGrid/>
              <w:spacing w:line="400" w:lineRule="exact"/>
              <w:ind w:firstLine="236" w:firstLineChars="1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3）母线保护实验；（能建立各种不同主接线和运行方式组成的实验母线模型。在各种试验模型系统中进行各种工况下的试验。保护区内外金属性故障。区内外经过渡电阻短路、断路器失灵，TV、TA断线等实验。）</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7)</w:t>
            </w:r>
            <w:r>
              <w:rPr>
                <w:rFonts w:hint="eastAsia" w:ascii="宋体" w:hAnsi="宋体" w:eastAsia="宋体" w:cs="宋体"/>
                <w:spacing w:val="-2"/>
                <w:sz w:val="24"/>
                <w:szCs w:val="24"/>
              </w:rPr>
              <w:tab/>
            </w:r>
            <w:r>
              <w:rPr>
                <w:rFonts w:hint="eastAsia" w:ascii="宋体" w:hAnsi="宋体" w:eastAsia="宋体" w:cs="宋体"/>
                <w:spacing w:val="-2"/>
                <w:sz w:val="24"/>
                <w:szCs w:val="24"/>
              </w:rPr>
              <w:t>电力系统功率特性和功率极限实验：无调节励磁时，功率特性和功率极限的测定；手动调节励磁时，功率特性和功率极限测定；自动调节励磁时，功率特性和功率极限测定；微机它励时，功率特性和功率极限的测定；单回路、双回路输送功率与功角关系实验。</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 xml:space="preserve">8) 电力系统暂态稳定性实验：短路类型对电力系统暂态稳定性的影响实验；故障切除时间对暂态稳定的影响实验；有无强励磁对暂态稳定性影响试验；线路重合闸及其对系统暂态稳定性影响的实验；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9)</w:t>
            </w:r>
            <w:r>
              <w:rPr>
                <w:rFonts w:hint="eastAsia" w:ascii="宋体" w:hAnsi="宋体" w:eastAsia="宋体" w:cs="宋体"/>
                <w:spacing w:val="-2"/>
                <w:sz w:val="24"/>
                <w:szCs w:val="24"/>
              </w:rPr>
              <w:tab/>
            </w:r>
            <w:r>
              <w:rPr>
                <w:rFonts w:hint="eastAsia" w:ascii="宋体" w:hAnsi="宋体" w:eastAsia="宋体" w:cs="宋体"/>
                <w:spacing w:val="-2"/>
                <w:sz w:val="24"/>
                <w:szCs w:val="24"/>
              </w:rPr>
              <w:t>独立电网实验：单机带负荷实验；甩负荷实验；不同负荷却换实验；系统内低频、低压、过负荷的减载实验（模拟 较复杂电力系统网络的各种运行情况和低频、低压、过负荷时的低频减载装置的动作行为实验）。</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spacing w:val="-2"/>
                <w:sz w:val="24"/>
                <w:szCs w:val="24"/>
              </w:rPr>
            </w:pPr>
            <w:r>
              <w:rPr>
                <w:rFonts w:hint="eastAsia" w:ascii="宋体" w:hAnsi="宋体" w:eastAsia="宋体" w:cs="宋体"/>
                <w:b/>
                <w:spacing w:val="-2"/>
                <w:sz w:val="24"/>
                <w:szCs w:val="24"/>
              </w:rPr>
              <w:t>2、针对毕业设计、科研、研究生可做实验：</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1)</w:t>
            </w:r>
            <w:r>
              <w:rPr>
                <w:rFonts w:hint="eastAsia" w:ascii="宋体" w:hAnsi="宋体" w:eastAsia="宋体" w:cs="宋体"/>
                <w:spacing w:val="-2"/>
                <w:sz w:val="24"/>
                <w:szCs w:val="24"/>
              </w:rPr>
              <w:tab/>
            </w:r>
            <w:r>
              <w:rPr>
                <w:rFonts w:hint="eastAsia" w:ascii="宋体" w:hAnsi="宋体" w:eastAsia="宋体" w:cs="宋体"/>
                <w:spacing w:val="-2"/>
                <w:sz w:val="24"/>
                <w:szCs w:val="24"/>
              </w:rPr>
              <w:t>同步发电机实验：发电机的空载特性实验；发电机的短路特性实验；发电机的负载特性实验；同步发电机直轴参数的离线测定；同步发电机参数的在线测定；同步发电机静态安全运行极限的测定。</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2)</w:t>
            </w:r>
            <w:r>
              <w:rPr>
                <w:rFonts w:hint="eastAsia" w:ascii="宋体" w:hAnsi="宋体" w:eastAsia="宋体" w:cs="宋体"/>
                <w:spacing w:val="-2"/>
                <w:sz w:val="24"/>
                <w:szCs w:val="24"/>
              </w:rPr>
              <w:tab/>
            </w:r>
            <w:r>
              <w:rPr>
                <w:rFonts w:hint="eastAsia" w:ascii="宋体" w:hAnsi="宋体" w:eastAsia="宋体" w:cs="宋体"/>
                <w:spacing w:val="-2"/>
                <w:sz w:val="24"/>
                <w:szCs w:val="24"/>
              </w:rPr>
              <w:t>远动及调度自动化实验：远动原理及技术实验；四遥实验；通信协议解析实验；</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3)</w:t>
            </w:r>
            <w:r>
              <w:rPr>
                <w:rFonts w:hint="eastAsia" w:ascii="宋体" w:hAnsi="宋体" w:eastAsia="宋体" w:cs="宋体"/>
                <w:spacing w:val="-2"/>
                <w:sz w:val="24"/>
                <w:szCs w:val="24"/>
              </w:rPr>
              <w:tab/>
            </w:r>
            <w:r>
              <w:rPr>
                <w:rFonts w:hint="eastAsia" w:ascii="宋体" w:hAnsi="宋体" w:eastAsia="宋体" w:cs="宋体"/>
                <w:spacing w:val="-2"/>
                <w:sz w:val="24"/>
                <w:szCs w:val="24"/>
              </w:rPr>
              <w:t>综合实验：高压输电线路的空载特性及自然功率实验；系统的一次调频与二次调频的实验；</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4）电力系统暂态稳定性实验；（模拟较复杂电力系统网络的各种运行情况实验。）</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5）配电自动化综合实验；大短路电流等故障录波实验（按照故障录波装置动模试验行业标准，可进行大短路电流的测试试验。）</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6）可完成大型（5000节点以内）电力系统仿真计算</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sz w:val="24"/>
                <w:szCs w:val="24"/>
              </w:rPr>
            </w:pPr>
            <w:r>
              <w:rPr>
                <w:rFonts w:hint="eastAsia" w:ascii="宋体" w:hAnsi="宋体" w:eastAsia="宋体" w:cs="宋体"/>
                <w:b/>
                <w:sz w:val="24"/>
                <w:szCs w:val="24"/>
              </w:rPr>
              <w:t>四、配套资料</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1、电子版和纸质版本实验指导书。</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2、全套视频教学资料。</w:t>
            </w:r>
          </w:p>
          <w:p>
            <w:pPr>
              <w:pStyle w:val="7"/>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3、实验过程波形视频回放。</w:t>
            </w:r>
          </w:p>
          <w:p>
            <w:pPr>
              <w:pStyle w:val="7"/>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b/>
                <w:sz w:val="24"/>
                <w:szCs w:val="24"/>
              </w:rPr>
            </w:pPr>
            <w:r>
              <w:rPr>
                <w:rFonts w:hint="eastAsia" w:ascii="宋体" w:hAnsi="宋体" w:eastAsia="宋体" w:cs="宋体"/>
                <w:b/>
                <w:sz w:val="24"/>
                <w:szCs w:val="24"/>
              </w:rPr>
              <w:t>五、设备配置</w:t>
            </w:r>
          </w:p>
          <w:tbl>
            <w:tblPr>
              <w:tblStyle w:val="11"/>
              <w:tblW w:w="6229" w:type="dxa"/>
              <w:jc w:val="center"/>
              <w:tblLayout w:type="fixed"/>
              <w:tblCellMar>
                <w:top w:w="0" w:type="dxa"/>
                <w:left w:w="108" w:type="dxa"/>
                <w:bottom w:w="0" w:type="dxa"/>
                <w:right w:w="108" w:type="dxa"/>
              </w:tblCellMar>
            </w:tblPr>
            <w:tblGrid>
              <w:gridCol w:w="707"/>
              <w:gridCol w:w="3975"/>
              <w:gridCol w:w="765"/>
              <w:gridCol w:w="782"/>
            </w:tblGrid>
            <w:tr>
              <w:tblPrEx>
                <w:tblCellMar>
                  <w:top w:w="0" w:type="dxa"/>
                  <w:left w:w="108" w:type="dxa"/>
                  <w:bottom w:w="0" w:type="dxa"/>
                  <w:right w:w="108" w:type="dxa"/>
                </w:tblCellMar>
              </w:tblPrEx>
              <w:trPr>
                <w:trHeight w:val="408" w:hRule="atLeast"/>
                <w:jc w:val="center"/>
              </w:trPr>
              <w:tc>
                <w:tcPr>
                  <w:tcW w:w="70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3975"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名称</w:t>
                  </w:r>
                </w:p>
              </w:tc>
              <w:tc>
                <w:tcPr>
                  <w:tcW w:w="765"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数量</w:t>
                  </w:r>
                </w:p>
              </w:tc>
              <w:tc>
                <w:tcPr>
                  <w:tcW w:w="782"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单位</w:t>
                  </w:r>
                </w:p>
              </w:tc>
            </w:tr>
            <w:tr>
              <w:tblPrEx>
                <w:tblCellMar>
                  <w:top w:w="0" w:type="dxa"/>
                  <w:left w:w="108" w:type="dxa"/>
                  <w:bottom w:w="0" w:type="dxa"/>
                  <w:right w:w="108" w:type="dxa"/>
                </w:tblCellMar>
              </w:tblPrEx>
              <w:trPr>
                <w:trHeight w:val="408" w:hRule="atLeast"/>
                <w:jc w:val="center"/>
              </w:trPr>
              <w:tc>
                <w:tcPr>
                  <w:tcW w:w="707"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39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5kVA模拟发电机组</w:t>
                  </w:r>
                </w:p>
              </w:tc>
              <w:tc>
                <w:tcPr>
                  <w:tcW w:w="7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8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tblPrEx>
                <w:tblCellMar>
                  <w:top w:w="0" w:type="dxa"/>
                  <w:left w:w="108" w:type="dxa"/>
                  <w:bottom w:w="0" w:type="dxa"/>
                  <w:right w:w="108" w:type="dxa"/>
                </w:tblCellMar>
              </w:tblPrEx>
              <w:trPr>
                <w:trHeight w:val="408" w:hRule="atLeast"/>
                <w:jc w:val="center"/>
              </w:trPr>
              <w:tc>
                <w:tcPr>
                  <w:tcW w:w="707"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39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2kVA模拟变压器</w:t>
                  </w:r>
                </w:p>
              </w:tc>
              <w:tc>
                <w:tcPr>
                  <w:tcW w:w="7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78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tblPrEx>
                <w:tblCellMar>
                  <w:top w:w="0" w:type="dxa"/>
                  <w:left w:w="108" w:type="dxa"/>
                  <w:bottom w:w="0" w:type="dxa"/>
                  <w:right w:w="108" w:type="dxa"/>
                </w:tblCellMar>
              </w:tblPrEx>
              <w:trPr>
                <w:trHeight w:val="408" w:hRule="atLeast"/>
                <w:jc w:val="center"/>
              </w:trPr>
              <w:tc>
                <w:tcPr>
                  <w:tcW w:w="707"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39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50kVA无穷大变压器</w:t>
                  </w:r>
                </w:p>
              </w:tc>
              <w:tc>
                <w:tcPr>
                  <w:tcW w:w="7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8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tblPrEx>
                <w:tblCellMar>
                  <w:top w:w="0" w:type="dxa"/>
                  <w:left w:w="108" w:type="dxa"/>
                  <w:bottom w:w="0" w:type="dxa"/>
                  <w:right w:w="108" w:type="dxa"/>
                </w:tblCellMar>
              </w:tblPrEx>
              <w:trPr>
                <w:trHeight w:val="408" w:hRule="atLeast"/>
                <w:jc w:val="center"/>
              </w:trPr>
              <w:tc>
                <w:tcPr>
                  <w:tcW w:w="707"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39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50kVA无穷大调压器</w:t>
                  </w:r>
                </w:p>
              </w:tc>
              <w:tc>
                <w:tcPr>
                  <w:tcW w:w="7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8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tblPrEx>
                <w:tblCellMar>
                  <w:top w:w="0" w:type="dxa"/>
                  <w:left w:w="108" w:type="dxa"/>
                  <w:bottom w:w="0" w:type="dxa"/>
                  <w:right w:w="108" w:type="dxa"/>
                </w:tblCellMar>
              </w:tblPrEx>
              <w:trPr>
                <w:trHeight w:val="408" w:hRule="atLeast"/>
                <w:jc w:val="center"/>
              </w:trPr>
              <w:tc>
                <w:tcPr>
                  <w:tcW w:w="707"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39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110kV 模拟输电线路</w:t>
                  </w:r>
                </w:p>
              </w:tc>
              <w:tc>
                <w:tcPr>
                  <w:tcW w:w="7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78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tblPrEx>
                <w:tblCellMar>
                  <w:top w:w="0" w:type="dxa"/>
                  <w:left w:w="108" w:type="dxa"/>
                  <w:bottom w:w="0" w:type="dxa"/>
                  <w:right w:w="108" w:type="dxa"/>
                </w:tblCellMar>
              </w:tblPrEx>
              <w:trPr>
                <w:trHeight w:val="408" w:hRule="atLeast"/>
                <w:jc w:val="center"/>
              </w:trPr>
              <w:tc>
                <w:tcPr>
                  <w:tcW w:w="707"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39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模拟无穷大电源测量控制屏</w:t>
                  </w:r>
                </w:p>
              </w:tc>
              <w:tc>
                <w:tcPr>
                  <w:tcW w:w="7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8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面</w:t>
                  </w:r>
                </w:p>
              </w:tc>
            </w:tr>
            <w:tr>
              <w:tblPrEx>
                <w:tblCellMar>
                  <w:top w:w="0" w:type="dxa"/>
                  <w:left w:w="108" w:type="dxa"/>
                  <w:bottom w:w="0" w:type="dxa"/>
                  <w:right w:w="108" w:type="dxa"/>
                </w:tblCellMar>
              </w:tblPrEx>
              <w:trPr>
                <w:trHeight w:val="408" w:hRule="atLeast"/>
                <w:jc w:val="center"/>
              </w:trPr>
              <w:tc>
                <w:tcPr>
                  <w:tcW w:w="707"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39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模拟高压系统故障屏</w:t>
                  </w:r>
                </w:p>
              </w:tc>
              <w:tc>
                <w:tcPr>
                  <w:tcW w:w="7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8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面</w:t>
                  </w:r>
                </w:p>
              </w:tc>
            </w:tr>
            <w:tr>
              <w:tblPrEx>
                <w:tblCellMar>
                  <w:top w:w="0" w:type="dxa"/>
                  <w:left w:w="108" w:type="dxa"/>
                  <w:bottom w:w="0" w:type="dxa"/>
                  <w:right w:w="108" w:type="dxa"/>
                </w:tblCellMar>
              </w:tblPrEx>
              <w:trPr>
                <w:trHeight w:val="408" w:hRule="atLeast"/>
                <w:jc w:val="center"/>
              </w:trPr>
              <w:tc>
                <w:tcPr>
                  <w:tcW w:w="707"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39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模拟线路保护测控屏</w:t>
                  </w:r>
                </w:p>
              </w:tc>
              <w:tc>
                <w:tcPr>
                  <w:tcW w:w="7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8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面</w:t>
                  </w:r>
                </w:p>
              </w:tc>
            </w:tr>
            <w:tr>
              <w:tblPrEx>
                <w:tblCellMar>
                  <w:top w:w="0" w:type="dxa"/>
                  <w:left w:w="108" w:type="dxa"/>
                  <w:bottom w:w="0" w:type="dxa"/>
                  <w:right w:w="108" w:type="dxa"/>
                </w:tblCellMar>
              </w:tblPrEx>
              <w:trPr>
                <w:trHeight w:val="408" w:hRule="atLeast"/>
                <w:jc w:val="center"/>
              </w:trPr>
              <w:tc>
                <w:tcPr>
                  <w:tcW w:w="707"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39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模拟变压器保护测控屏</w:t>
                  </w:r>
                </w:p>
              </w:tc>
              <w:tc>
                <w:tcPr>
                  <w:tcW w:w="7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8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面</w:t>
                  </w:r>
                </w:p>
              </w:tc>
            </w:tr>
            <w:tr>
              <w:tblPrEx>
                <w:tblCellMar>
                  <w:top w:w="0" w:type="dxa"/>
                  <w:left w:w="108" w:type="dxa"/>
                  <w:bottom w:w="0" w:type="dxa"/>
                  <w:right w:w="108" w:type="dxa"/>
                </w:tblCellMar>
              </w:tblPrEx>
              <w:trPr>
                <w:trHeight w:val="408" w:hRule="atLeast"/>
                <w:jc w:val="center"/>
              </w:trPr>
              <w:tc>
                <w:tcPr>
                  <w:tcW w:w="707"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39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原动机及调速系统仿真屏</w:t>
                  </w:r>
                </w:p>
              </w:tc>
              <w:tc>
                <w:tcPr>
                  <w:tcW w:w="7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8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面</w:t>
                  </w:r>
                </w:p>
              </w:tc>
            </w:tr>
            <w:tr>
              <w:tblPrEx>
                <w:tblCellMar>
                  <w:top w:w="0" w:type="dxa"/>
                  <w:left w:w="108" w:type="dxa"/>
                  <w:bottom w:w="0" w:type="dxa"/>
                  <w:right w:w="108" w:type="dxa"/>
                </w:tblCellMar>
              </w:tblPrEx>
              <w:trPr>
                <w:trHeight w:val="408" w:hRule="atLeast"/>
                <w:jc w:val="center"/>
              </w:trPr>
              <w:tc>
                <w:tcPr>
                  <w:tcW w:w="707"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39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微机励磁调节屏</w:t>
                  </w:r>
                </w:p>
              </w:tc>
              <w:tc>
                <w:tcPr>
                  <w:tcW w:w="7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8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面</w:t>
                  </w:r>
                </w:p>
              </w:tc>
            </w:tr>
            <w:tr>
              <w:tblPrEx>
                <w:tblCellMar>
                  <w:top w:w="0" w:type="dxa"/>
                  <w:left w:w="108" w:type="dxa"/>
                  <w:bottom w:w="0" w:type="dxa"/>
                  <w:right w:w="108" w:type="dxa"/>
                </w:tblCellMar>
              </w:tblPrEx>
              <w:trPr>
                <w:trHeight w:val="408" w:hRule="atLeast"/>
                <w:jc w:val="center"/>
              </w:trPr>
              <w:tc>
                <w:tcPr>
                  <w:tcW w:w="707"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39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模拟发电机保护测控屏</w:t>
                  </w:r>
                </w:p>
              </w:tc>
              <w:tc>
                <w:tcPr>
                  <w:tcW w:w="7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8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面</w:t>
                  </w:r>
                </w:p>
              </w:tc>
            </w:tr>
            <w:tr>
              <w:tblPrEx>
                <w:tblCellMar>
                  <w:top w:w="0" w:type="dxa"/>
                  <w:left w:w="108" w:type="dxa"/>
                  <w:bottom w:w="0" w:type="dxa"/>
                  <w:right w:w="108" w:type="dxa"/>
                </w:tblCellMar>
              </w:tblPrEx>
              <w:trPr>
                <w:trHeight w:val="408" w:hRule="atLeast"/>
                <w:jc w:val="center"/>
              </w:trPr>
              <w:tc>
                <w:tcPr>
                  <w:tcW w:w="707"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39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高压系统电网组合屏</w:t>
                  </w:r>
                </w:p>
              </w:tc>
              <w:tc>
                <w:tcPr>
                  <w:tcW w:w="7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8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面</w:t>
                  </w:r>
                </w:p>
              </w:tc>
            </w:tr>
            <w:tr>
              <w:tblPrEx>
                <w:tblCellMar>
                  <w:top w:w="0" w:type="dxa"/>
                  <w:left w:w="108" w:type="dxa"/>
                  <w:bottom w:w="0" w:type="dxa"/>
                  <w:right w:w="108" w:type="dxa"/>
                </w:tblCellMar>
              </w:tblPrEx>
              <w:trPr>
                <w:trHeight w:val="408" w:hRule="atLeast"/>
                <w:jc w:val="center"/>
              </w:trPr>
              <w:tc>
                <w:tcPr>
                  <w:tcW w:w="707"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39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主测量控制试验台</w:t>
                  </w:r>
                </w:p>
              </w:tc>
              <w:tc>
                <w:tcPr>
                  <w:tcW w:w="7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78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tblPrEx>
                <w:tblCellMar>
                  <w:top w:w="0" w:type="dxa"/>
                  <w:left w:w="108" w:type="dxa"/>
                  <w:bottom w:w="0" w:type="dxa"/>
                  <w:right w:w="108" w:type="dxa"/>
                </w:tblCellMar>
              </w:tblPrEx>
              <w:trPr>
                <w:trHeight w:val="408" w:hRule="atLeast"/>
                <w:jc w:val="center"/>
              </w:trPr>
              <w:tc>
                <w:tcPr>
                  <w:tcW w:w="707"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39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通讯管理屏</w:t>
                  </w:r>
                </w:p>
              </w:tc>
              <w:tc>
                <w:tcPr>
                  <w:tcW w:w="7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8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面</w:t>
                  </w:r>
                </w:p>
              </w:tc>
            </w:tr>
            <w:tr>
              <w:tblPrEx>
                <w:tblCellMar>
                  <w:top w:w="0" w:type="dxa"/>
                  <w:left w:w="108" w:type="dxa"/>
                  <w:bottom w:w="0" w:type="dxa"/>
                  <w:right w:w="108" w:type="dxa"/>
                </w:tblCellMar>
              </w:tblPrEx>
              <w:trPr>
                <w:trHeight w:val="408" w:hRule="atLeast"/>
                <w:jc w:val="center"/>
              </w:trPr>
              <w:tc>
                <w:tcPr>
                  <w:tcW w:w="707"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39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电力监控组态软件</w:t>
                  </w:r>
                </w:p>
              </w:tc>
              <w:tc>
                <w:tcPr>
                  <w:tcW w:w="7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8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tblPrEx>
                <w:tblCellMar>
                  <w:top w:w="0" w:type="dxa"/>
                  <w:left w:w="108" w:type="dxa"/>
                  <w:bottom w:w="0" w:type="dxa"/>
                  <w:right w:w="108" w:type="dxa"/>
                </w:tblCellMar>
              </w:tblPrEx>
              <w:trPr>
                <w:trHeight w:val="408" w:hRule="atLeast"/>
                <w:jc w:val="center"/>
              </w:trPr>
              <w:tc>
                <w:tcPr>
                  <w:tcW w:w="707"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39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微机监控台</w:t>
                  </w:r>
                </w:p>
              </w:tc>
              <w:tc>
                <w:tcPr>
                  <w:tcW w:w="7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8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tblPrEx>
                <w:tblCellMar>
                  <w:top w:w="0" w:type="dxa"/>
                  <w:left w:w="108" w:type="dxa"/>
                  <w:bottom w:w="0" w:type="dxa"/>
                  <w:right w:w="108" w:type="dxa"/>
                </w:tblCellMar>
              </w:tblPrEx>
              <w:trPr>
                <w:trHeight w:val="408" w:hRule="atLeast"/>
                <w:jc w:val="center"/>
              </w:trPr>
              <w:tc>
                <w:tcPr>
                  <w:tcW w:w="707"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39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微机型同期装置</w:t>
                  </w:r>
                </w:p>
              </w:tc>
              <w:tc>
                <w:tcPr>
                  <w:tcW w:w="7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8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tblPrEx>
                <w:tblCellMar>
                  <w:top w:w="0" w:type="dxa"/>
                  <w:left w:w="108" w:type="dxa"/>
                  <w:bottom w:w="0" w:type="dxa"/>
                  <w:right w:w="108" w:type="dxa"/>
                </w:tblCellMar>
              </w:tblPrEx>
              <w:trPr>
                <w:trHeight w:val="408" w:hRule="atLeast"/>
                <w:jc w:val="center"/>
              </w:trPr>
              <w:tc>
                <w:tcPr>
                  <w:tcW w:w="707"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39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发变组故障录波仪</w:t>
                  </w:r>
                </w:p>
              </w:tc>
              <w:tc>
                <w:tcPr>
                  <w:tcW w:w="7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8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tblPrEx>
                <w:tblCellMar>
                  <w:top w:w="0" w:type="dxa"/>
                  <w:left w:w="108" w:type="dxa"/>
                  <w:bottom w:w="0" w:type="dxa"/>
                  <w:right w:w="108" w:type="dxa"/>
                </w:tblCellMar>
              </w:tblPrEx>
              <w:trPr>
                <w:trHeight w:val="408" w:hRule="atLeast"/>
                <w:jc w:val="center"/>
              </w:trPr>
              <w:tc>
                <w:tcPr>
                  <w:tcW w:w="707"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39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线路故障录波仪</w:t>
                  </w:r>
                </w:p>
              </w:tc>
              <w:tc>
                <w:tcPr>
                  <w:tcW w:w="7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8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tblPrEx>
                <w:tblCellMar>
                  <w:top w:w="0" w:type="dxa"/>
                  <w:left w:w="108" w:type="dxa"/>
                  <w:bottom w:w="0" w:type="dxa"/>
                  <w:right w:w="108" w:type="dxa"/>
                </w:tblCellMar>
              </w:tblPrEx>
              <w:trPr>
                <w:trHeight w:val="408" w:hRule="atLeast"/>
                <w:jc w:val="center"/>
              </w:trPr>
              <w:tc>
                <w:tcPr>
                  <w:tcW w:w="707"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39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电力系统仿真计算软件</w:t>
                  </w:r>
                </w:p>
              </w:tc>
              <w:tc>
                <w:tcPr>
                  <w:tcW w:w="7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8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tblPrEx>
                <w:tblCellMar>
                  <w:top w:w="0" w:type="dxa"/>
                  <w:left w:w="108" w:type="dxa"/>
                  <w:bottom w:w="0" w:type="dxa"/>
                  <w:right w:w="108" w:type="dxa"/>
                </w:tblCellMar>
              </w:tblPrEx>
              <w:trPr>
                <w:trHeight w:val="427" w:hRule="atLeast"/>
                <w:jc w:val="center"/>
              </w:trPr>
              <w:tc>
                <w:tcPr>
                  <w:tcW w:w="707"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39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虚拟电力自动化实验在线平台软件</w:t>
                  </w:r>
                </w:p>
              </w:tc>
              <w:tc>
                <w:tcPr>
                  <w:tcW w:w="7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8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bl>
          <w:p>
            <w:pPr>
              <w:pStyle w:val="7"/>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b/>
                <w:sz w:val="24"/>
                <w:szCs w:val="24"/>
              </w:rPr>
            </w:pPr>
          </w:p>
        </w:tc>
        <w:tc>
          <w:tcPr>
            <w:tcW w:w="765" w:type="dxa"/>
            <w:vAlign w:val="center"/>
          </w:tcPr>
          <w:p>
            <w:pPr>
              <w:pStyle w:val="7"/>
              <w:keepNext w:val="0"/>
              <w:keepLines w:val="0"/>
              <w:pageBreakBefore w:val="0"/>
              <w:kinsoku/>
              <w:wordWrap/>
              <w:overflowPunct/>
              <w:topLinePunct w:val="0"/>
              <w:autoSpaceDE/>
              <w:autoSpaceDN/>
              <w:bidi w:val="0"/>
              <w:adjustRightInd/>
              <w:snapToGrid/>
              <w:spacing w:line="400" w:lineRule="exact"/>
              <w:ind w:firstLine="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w:t>
            </w:r>
          </w:p>
        </w:tc>
        <w:tc>
          <w:tcPr>
            <w:tcW w:w="76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3" w:hRule="atLeast"/>
          <w:jc w:val="center"/>
        </w:trPr>
        <w:tc>
          <w:tcPr>
            <w:tcW w:w="710" w:type="dxa"/>
            <w:vAlign w:val="center"/>
          </w:tcPr>
          <w:p>
            <w:pPr>
              <w:pStyle w:val="15"/>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8</w:t>
            </w:r>
          </w:p>
        </w:tc>
        <w:tc>
          <w:tcPr>
            <w:tcW w:w="91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高压试验仿真培训系统</w:t>
            </w:r>
          </w:p>
        </w:tc>
        <w:tc>
          <w:tcPr>
            <w:tcW w:w="6465"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color w:val="000000"/>
                <w:sz w:val="24"/>
                <w:szCs w:val="24"/>
              </w:rPr>
            </w:pPr>
            <w:r>
              <w:rPr>
                <w:rFonts w:hint="eastAsia" w:ascii="宋体" w:hAnsi="宋体" w:eastAsia="宋体" w:cs="宋体"/>
                <w:b/>
                <w:sz w:val="24"/>
                <w:szCs w:val="24"/>
              </w:rPr>
              <w:t>一、系统要求</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napToGrid w:val="0"/>
                <w:sz w:val="24"/>
                <w:szCs w:val="24"/>
              </w:rPr>
              <w:t>该系统应包括</w:t>
            </w:r>
            <w:r>
              <w:rPr>
                <w:rFonts w:hint="eastAsia" w:ascii="宋体" w:hAnsi="宋体" w:eastAsia="宋体" w:cs="宋体"/>
                <w:sz w:val="24"/>
                <w:szCs w:val="24"/>
              </w:rPr>
              <w:t>交互式分布式电气试验仿真支撑平台</w:t>
            </w:r>
            <w:r>
              <w:rPr>
                <w:rFonts w:hint="eastAsia" w:ascii="宋体" w:hAnsi="宋体" w:eastAsia="宋体" w:cs="宋体"/>
                <w:snapToGrid w:val="0"/>
                <w:sz w:val="24"/>
                <w:szCs w:val="24"/>
              </w:rPr>
              <w:t>、电气设备虚拟仿真、电气试验虚拟仿真和仿真管理系统等模块。采用虚拟现实技术，对变电一次设备进行三维建模，构建基于虚拟现实技术的电气试验仿真培训系统平台，实现电气试验仿真的工作前准备、试验接线、仪器操作、数据分析、试验拆线、试验数据设置和学员技能考评等仿真培训功能。</w:t>
            </w:r>
          </w:p>
          <w:p>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（1）遵循标准化和规范化原则，采用各种符合国家相关标准接口方式，方便与其他系统进行接口。</w:t>
            </w:r>
          </w:p>
          <w:p>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（2）系统采用最新的虚拟现实技术、分布式仿真技术、动态人机界面技术和多媒体技术，保证系统具备一定的先进性。</w:t>
            </w:r>
          </w:p>
          <w:p>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（3）系统的设计应将可靠性原则应贯穿于系统设计、设备选型、软件配置到系统施工的全过程。</w:t>
            </w:r>
          </w:p>
          <w:p>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（4）系统设计设计有充分的余地，以便日后比较方便地进行系统扩充。为此，设备应采用模块式结构，在需要时可进行随时补充。系统具有标准接口，易于第三方软硬件的接入，使系统具备灵活的扩展性。</w:t>
            </w:r>
          </w:p>
          <w:p>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（5）系统基本上可以处于免维护工作状态，且人工维护可在远程操作，维护简单，易于管理。</w:t>
            </w:r>
          </w:p>
          <w:p>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（6）系统和互联网的接口安装防火墙，以保证系统的安全；整个系统采取安全措施以防止软件及各种文档资料被非法复制、修改等。</w:t>
            </w:r>
          </w:p>
          <w:p>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（7）系统采用灵活的任务调度机制实现负载均衡，快速响应用户输入或系统产生的各种事件。</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color w:val="000000"/>
                <w:sz w:val="24"/>
                <w:szCs w:val="24"/>
              </w:rPr>
            </w:pPr>
            <w:r>
              <w:rPr>
                <w:rFonts w:hint="eastAsia" w:ascii="宋体" w:hAnsi="宋体" w:eastAsia="宋体" w:cs="宋体"/>
                <w:b/>
                <w:sz w:val="24"/>
                <w:szCs w:val="24"/>
              </w:rPr>
              <w:t>二、系统功能</w:t>
            </w:r>
          </w:p>
          <w:p>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（1）可视化建模。对变压器、断路器、隔离开关、避雷器等变电一次设备建立三维模型。实现变电设备的认知、结构讲解和原理仿真等培训功能。</w:t>
            </w:r>
          </w:p>
          <w:p>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2）变电设备电气试验仿真。在设备三维的基础上，根据设备电气试验仿真的标准化作业流程，研究和开发变电设备试验仿真项目，实现作业前准备、试验接线、仪器操作、数据分析、试验报告填写、设备故障设置模拟等仿真培训功能。</w:t>
            </w:r>
          </w:p>
          <w:p>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3）学员技能考评。考评鉴定系统实现受训人员在仿真学习模块中所学知识的基础上，对电气试验作业流程、操作标准、安全管控、试验结果分析等业务技能进行仿真模拟互动操作的考核，并对学员理论与实操技能水平给出客观的评价。</w:t>
            </w:r>
          </w:p>
          <w:p>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（4）仿真培训管理。具备仿真数据设置以及记录学员操作、操作结果评判等功能。</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sz w:val="24"/>
                <w:szCs w:val="24"/>
              </w:rPr>
            </w:pPr>
            <w:r>
              <w:rPr>
                <w:rFonts w:hint="eastAsia" w:ascii="宋体" w:hAnsi="宋体" w:eastAsia="宋体" w:cs="宋体"/>
                <w:b/>
                <w:sz w:val="24"/>
                <w:szCs w:val="24"/>
              </w:rPr>
              <w:t>三、各模块技术要求</w:t>
            </w:r>
          </w:p>
          <w:p>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宋体" w:hAnsi="宋体" w:eastAsia="宋体" w:cs="宋体"/>
                <w:snapToGrid w:val="0"/>
                <w:sz w:val="24"/>
                <w:szCs w:val="24"/>
              </w:rPr>
            </w:pPr>
            <w:bookmarkStart w:id="1" w:name="_Toc14774"/>
            <w:r>
              <w:rPr>
                <w:rFonts w:hint="eastAsia" w:ascii="宋体" w:hAnsi="宋体" w:eastAsia="宋体" w:cs="宋体"/>
                <w:snapToGrid w:val="0"/>
                <w:sz w:val="24"/>
                <w:szCs w:val="24"/>
              </w:rPr>
              <w:t>（1）交互式分布式电气试验仿真支撑平台</w:t>
            </w:r>
            <w:bookmarkEnd w:id="1"/>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1、电气试验仿真教学系统不是一个单个的培训系统，而是由多个系统组成的综合仿真教学、培训系统，作为系统基础的电气试验仿真支撑平台结合电力仿真软件的特点，解决仿真培训系统互操作性、分布性、异构性、时空一致性和开放性问题，且要具有良好的规模可伸缩性，能够满足各种仿真培训系统的需要。交互式分布式电气试验仿真支撑平台应建立在当前主流的操作系统平台之上，广泛采用TCP/IP协议，充分体现系统的开放互连。</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 xml:space="preserve">2、将交互式分布式电气试验仿真支撑平台作为本项目软件的基础，将其打造成一款面向三维场景环境构建、渲染、编辑、沉浸式显示和实时交互应用的三维可视化仿真平台。该平台要为仿真应用软件提供透明、高效的生产构建环境和运行管理环境。作为整个仿真培训系统的核心，在每台计算机中都有驻留程序，使之成为联系各个仿真应用程序交互操作的纽带。在仿真系统运行过程中，各个仿真应用程序只和其所在计算机中的驻留软件进行接口，整个仿真系统相互交互任务由支撑平台完成，为各个仿真应用之间的交互提供通用服务：仿真应用管理、声明管理、所用权管理、时间管理、数据分布管理、协同管理和应用程序接口等。 </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3、交互式分布式电气试验仿真支撑平台应完全满足以下技术特点：</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①交互式分布式电气试验仿真支撑平台是一个开放的、支持面向对象的体系结构。</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②交互式分布式电气试验仿真支撑平台通过提供通用的、相对独立的支撑服务程序，将仿真应用层同底层支撑环境分离，即将具体的仿真功能实现、仿真运行管理和底层通信三者分开，隐蔽各自的实现细节。从而使各部分相对独立地进行开发，可以利用各自领域的最新技术来实现标准的功能和服务，适应新技术发展。</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③交互式分布式电气试验仿真支撑平台实现仿真应用系统的即插即用，易于仿真应用系统的集成和管理。</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④配置接口标准，根据培训需要可以灵活、方便地配置和拆卸电力模型等各子模块及相应的监控、管理系统；能方便地修改、增加新的子模型和新类型的系统资源。</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⑤支撑多个仿真应用并行无干扰运行，保证学员可以加入任何一个正在运行的应用中进行学习、培训。</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⑥该平台支持一机多模的实时运行。</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⑦该平台具有强大的图形支持能力。</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⑧该平台支持主流的人机交互硬件设备。</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（2）</w:t>
            </w:r>
            <w:bookmarkStart w:id="2" w:name="_Toc27577"/>
            <w:r>
              <w:rPr>
                <w:rFonts w:hint="eastAsia" w:ascii="宋体" w:hAnsi="宋体" w:eastAsia="宋体" w:cs="宋体"/>
                <w:snapToGrid w:val="0"/>
                <w:sz w:val="24"/>
                <w:szCs w:val="24"/>
              </w:rPr>
              <w:t>电气设备虚拟仿真</w:t>
            </w:r>
            <w:bookmarkEnd w:id="2"/>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napToGrid w:val="0"/>
                <w:sz w:val="24"/>
                <w:szCs w:val="24"/>
              </w:rPr>
              <w:t>利用虚拟现实技术，实现对变压器、断路器、隔离开关、互感器、避雷器</w:t>
            </w:r>
            <w:r>
              <w:rPr>
                <w:rFonts w:hint="eastAsia" w:ascii="宋体" w:hAnsi="宋体" w:eastAsia="宋体" w:cs="宋体"/>
                <w:sz w:val="24"/>
                <w:szCs w:val="24"/>
              </w:rPr>
              <w:t>等设备的三维仿真，模拟变电设备的物理属性和状态数据。使学员在对这些关键设备进行电气试验前，就对设备内外部结构、原理等都具有充分的了解。变电站电气设备三维仿真</w:t>
            </w:r>
            <w:r>
              <w:rPr>
                <w:rFonts w:hint="eastAsia" w:ascii="宋体" w:hAnsi="宋体" w:eastAsia="宋体" w:cs="宋体"/>
                <w:snapToGrid w:val="0"/>
                <w:sz w:val="24"/>
                <w:szCs w:val="24"/>
              </w:rPr>
              <w:t>的</w:t>
            </w:r>
            <w:r>
              <w:rPr>
                <w:rFonts w:hint="eastAsia" w:ascii="宋体" w:hAnsi="宋体" w:eastAsia="宋体" w:cs="宋体"/>
                <w:sz w:val="24"/>
                <w:szCs w:val="24"/>
              </w:rPr>
              <w:t>主要设备包括：</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1、变压器</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2、断路器</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3、隔离开关</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4、互感器</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5、避雷器</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（3）电气试验虚拟仿真</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基于三维仿真技术，电气试验仿真根据电气试验理论建立的三维模型基础上，利用虚拟仿真的电气试验及检测仪器、被试品与后台计算机进行数据交换，通过交互式仿真操作，在虚拟仿真的仪器仪表上表示出来，逼真模拟现场电气试验的整个过程，为开展大规模、高效率、可操作性强的电气试验培训提供实训环境。</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2、电气试验仿真能实现</w:t>
            </w:r>
            <w:r>
              <w:rPr>
                <w:rFonts w:hint="eastAsia" w:ascii="宋体" w:hAnsi="宋体" w:eastAsia="宋体" w:cs="宋体"/>
                <w:kern w:val="0"/>
                <w:sz w:val="24"/>
                <w:szCs w:val="24"/>
              </w:rPr>
              <w:t>工作前准备、试验接线、仪器操作、数据分析、试验报告填写、仿真数据设置</w:t>
            </w:r>
            <w:r>
              <w:rPr>
                <w:rFonts w:hint="eastAsia" w:ascii="宋体" w:hAnsi="宋体" w:eastAsia="宋体" w:cs="宋体"/>
                <w:sz w:val="24"/>
                <w:szCs w:val="24"/>
              </w:rPr>
              <w:t>、三维场景的全方位多角度浏览、帮助信息查看、界面隐藏/显示、步骤跳转、警告信息提示、场景高亮提示、视野控制功能等仿真培训功能。</w:t>
            </w:r>
          </w:p>
          <w:p>
            <w:pPr>
              <w:pStyle w:val="7"/>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3、电气试验仿真需要开发项目内容如下：</w:t>
            </w:r>
          </w:p>
          <w:tbl>
            <w:tblPr>
              <w:tblStyle w:val="12"/>
              <w:tblW w:w="6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45"/>
              <w:gridCol w:w="3000"/>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51" w:type="dxa"/>
                  <w:shd w:val="clear" w:color="auto" w:fill="CFCEC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245" w:type="dxa"/>
                  <w:shd w:val="clear" w:color="auto" w:fill="CFCEC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设备类型</w:t>
                  </w:r>
                </w:p>
              </w:tc>
              <w:tc>
                <w:tcPr>
                  <w:tcW w:w="3000" w:type="dxa"/>
                  <w:shd w:val="clear" w:color="auto" w:fill="CFCEC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开发内容</w:t>
                  </w:r>
                </w:p>
              </w:tc>
              <w:tc>
                <w:tcPr>
                  <w:tcW w:w="1210" w:type="dxa"/>
                  <w:shd w:val="clear" w:color="auto" w:fill="CFCEC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仿真形式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51" w:type="dxa"/>
                  <w:vAlign w:val="center"/>
                </w:tcPr>
                <w:p>
                  <w:pPr>
                    <w:keepNext w:val="0"/>
                    <w:keepLines w:val="0"/>
                    <w:pageBreakBefore w:val="0"/>
                    <w:numPr>
                      <w:ilvl w:val="0"/>
                      <w:numId w:val="2"/>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1245"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110kV变压器</w:t>
                  </w:r>
                </w:p>
              </w:tc>
              <w:tc>
                <w:tcPr>
                  <w:tcW w:w="30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kern w:val="0"/>
                      <w:sz w:val="24"/>
                      <w:szCs w:val="24"/>
                    </w:rPr>
                    <w:t>变压器绕组连同套管的tanδ试验三维仿真</w:t>
                  </w:r>
                </w:p>
              </w:tc>
              <w:tc>
                <w:tcPr>
                  <w:tcW w:w="12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PC仿真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51" w:type="dxa"/>
                  <w:vAlign w:val="center"/>
                </w:tcPr>
                <w:p>
                  <w:pPr>
                    <w:keepNext w:val="0"/>
                    <w:keepLines w:val="0"/>
                    <w:pageBreakBefore w:val="0"/>
                    <w:numPr>
                      <w:ilvl w:val="0"/>
                      <w:numId w:val="2"/>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1245"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30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kern w:val="0"/>
                      <w:sz w:val="24"/>
                      <w:szCs w:val="24"/>
                    </w:rPr>
                    <w:t>变压器绕组连同套管的绝缘电阻、吸收比、极化指数试验三维仿真</w:t>
                  </w:r>
                </w:p>
              </w:tc>
              <w:tc>
                <w:tcPr>
                  <w:tcW w:w="12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PC仿真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51" w:type="dxa"/>
                  <w:vAlign w:val="center"/>
                </w:tcPr>
                <w:p>
                  <w:pPr>
                    <w:keepNext w:val="0"/>
                    <w:keepLines w:val="0"/>
                    <w:pageBreakBefore w:val="0"/>
                    <w:numPr>
                      <w:ilvl w:val="0"/>
                      <w:numId w:val="2"/>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1245"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30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变压器铁芯对夹件及地绝缘电阻试验三维仿真</w:t>
                  </w:r>
                </w:p>
              </w:tc>
              <w:tc>
                <w:tcPr>
                  <w:tcW w:w="12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PC仿真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51" w:type="dxa"/>
                  <w:vAlign w:val="center"/>
                </w:tcPr>
                <w:p>
                  <w:pPr>
                    <w:keepNext w:val="0"/>
                    <w:keepLines w:val="0"/>
                    <w:pageBreakBefore w:val="0"/>
                    <w:numPr>
                      <w:ilvl w:val="0"/>
                      <w:numId w:val="2"/>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1245"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30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变压器绕组连同套管的直流电阻试验三维仿真</w:t>
                  </w:r>
                </w:p>
              </w:tc>
              <w:tc>
                <w:tcPr>
                  <w:tcW w:w="12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PC仿真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51" w:type="dxa"/>
                  <w:vAlign w:val="center"/>
                </w:tcPr>
                <w:p>
                  <w:pPr>
                    <w:keepNext w:val="0"/>
                    <w:keepLines w:val="0"/>
                    <w:pageBreakBefore w:val="0"/>
                    <w:numPr>
                      <w:ilvl w:val="0"/>
                      <w:numId w:val="2"/>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1245"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30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变压器绕组连同套管直流泄漏电流试验三维仿真</w:t>
                  </w:r>
                </w:p>
              </w:tc>
              <w:tc>
                <w:tcPr>
                  <w:tcW w:w="12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PC仿真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51" w:type="dxa"/>
                  <w:vAlign w:val="center"/>
                </w:tcPr>
                <w:p>
                  <w:pPr>
                    <w:keepNext w:val="0"/>
                    <w:keepLines w:val="0"/>
                    <w:pageBreakBefore w:val="0"/>
                    <w:numPr>
                      <w:ilvl w:val="0"/>
                      <w:numId w:val="2"/>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1245"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30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kern w:val="0"/>
                      <w:sz w:val="24"/>
                      <w:szCs w:val="24"/>
                    </w:rPr>
                    <w:t>变压器电容型套管的tanδ和电容量试验三维仿真</w:t>
                  </w:r>
                </w:p>
              </w:tc>
              <w:tc>
                <w:tcPr>
                  <w:tcW w:w="12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PC仿真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51" w:type="dxa"/>
                  <w:vAlign w:val="center"/>
                </w:tcPr>
                <w:p>
                  <w:pPr>
                    <w:keepNext w:val="0"/>
                    <w:keepLines w:val="0"/>
                    <w:pageBreakBefore w:val="0"/>
                    <w:numPr>
                      <w:ilvl w:val="0"/>
                      <w:numId w:val="2"/>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1245"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110kV断路器</w:t>
                  </w:r>
                </w:p>
              </w:tc>
              <w:tc>
                <w:tcPr>
                  <w:tcW w:w="30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kern w:val="0"/>
                      <w:sz w:val="24"/>
                      <w:szCs w:val="24"/>
                    </w:rPr>
                    <w:t>断路器绝缘电阻试验三维仿真</w:t>
                  </w:r>
                </w:p>
              </w:tc>
              <w:tc>
                <w:tcPr>
                  <w:tcW w:w="12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PC仿真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51" w:type="dxa"/>
                  <w:vAlign w:val="center"/>
                </w:tcPr>
                <w:p>
                  <w:pPr>
                    <w:keepNext w:val="0"/>
                    <w:keepLines w:val="0"/>
                    <w:pageBreakBefore w:val="0"/>
                    <w:numPr>
                      <w:ilvl w:val="0"/>
                      <w:numId w:val="2"/>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1245"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30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断路器导电回路电阻试验三维仿真</w:t>
                  </w:r>
                </w:p>
              </w:tc>
              <w:tc>
                <w:tcPr>
                  <w:tcW w:w="12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PC仿真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51" w:type="dxa"/>
                  <w:vAlign w:val="center"/>
                </w:tcPr>
                <w:p>
                  <w:pPr>
                    <w:keepNext w:val="0"/>
                    <w:keepLines w:val="0"/>
                    <w:pageBreakBefore w:val="0"/>
                    <w:numPr>
                      <w:ilvl w:val="0"/>
                      <w:numId w:val="2"/>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1245"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30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断路器电容器的电容和tanδ试验三维仿真</w:t>
                  </w:r>
                </w:p>
              </w:tc>
              <w:tc>
                <w:tcPr>
                  <w:tcW w:w="12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PC仿真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51" w:type="dxa"/>
                  <w:vAlign w:val="center"/>
                </w:tcPr>
                <w:p>
                  <w:pPr>
                    <w:keepNext w:val="0"/>
                    <w:keepLines w:val="0"/>
                    <w:pageBreakBefore w:val="0"/>
                    <w:numPr>
                      <w:ilvl w:val="0"/>
                      <w:numId w:val="2"/>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1245"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30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kern w:val="0"/>
                      <w:sz w:val="24"/>
                      <w:szCs w:val="24"/>
                    </w:rPr>
                    <w:t>断路器的分、合闸动作特性试验三维仿真</w:t>
                  </w:r>
                </w:p>
              </w:tc>
              <w:tc>
                <w:tcPr>
                  <w:tcW w:w="12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PC仿真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51" w:type="dxa"/>
                  <w:vAlign w:val="center"/>
                </w:tcPr>
                <w:p>
                  <w:pPr>
                    <w:keepNext w:val="0"/>
                    <w:keepLines w:val="0"/>
                    <w:pageBreakBefore w:val="0"/>
                    <w:numPr>
                      <w:ilvl w:val="0"/>
                      <w:numId w:val="2"/>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1245"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110kV隔离开关</w:t>
                  </w:r>
                </w:p>
              </w:tc>
              <w:tc>
                <w:tcPr>
                  <w:tcW w:w="30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kern w:val="0"/>
                      <w:sz w:val="24"/>
                      <w:szCs w:val="24"/>
                    </w:rPr>
                    <w:t>隔离开关导电回路电阻试验三维仿真</w:t>
                  </w:r>
                </w:p>
              </w:tc>
              <w:tc>
                <w:tcPr>
                  <w:tcW w:w="12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PC仿真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51" w:type="dxa"/>
                  <w:vAlign w:val="center"/>
                </w:tcPr>
                <w:p>
                  <w:pPr>
                    <w:keepNext w:val="0"/>
                    <w:keepLines w:val="0"/>
                    <w:pageBreakBefore w:val="0"/>
                    <w:numPr>
                      <w:ilvl w:val="0"/>
                      <w:numId w:val="2"/>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1245"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30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kern w:val="0"/>
                      <w:sz w:val="24"/>
                      <w:szCs w:val="24"/>
                    </w:rPr>
                    <w:t>隔离开关绝缘电阻试验三维仿真</w:t>
                  </w:r>
                </w:p>
              </w:tc>
              <w:tc>
                <w:tcPr>
                  <w:tcW w:w="12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PC仿真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51" w:type="dxa"/>
                  <w:vAlign w:val="center"/>
                </w:tcPr>
                <w:p>
                  <w:pPr>
                    <w:keepNext w:val="0"/>
                    <w:keepLines w:val="0"/>
                    <w:pageBreakBefore w:val="0"/>
                    <w:numPr>
                      <w:ilvl w:val="0"/>
                      <w:numId w:val="2"/>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1245"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110kV互感器</w:t>
                  </w:r>
                </w:p>
              </w:tc>
              <w:tc>
                <w:tcPr>
                  <w:tcW w:w="30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互感器末屏的绝缘电阻试验三维仿真</w:t>
                  </w:r>
                </w:p>
              </w:tc>
              <w:tc>
                <w:tcPr>
                  <w:tcW w:w="12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PC仿真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51" w:type="dxa"/>
                  <w:vAlign w:val="center"/>
                </w:tcPr>
                <w:p>
                  <w:pPr>
                    <w:keepNext w:val="0"/>
                    <w:keepLines w:val="0"/>
                    <w:pageBreakBefore w:val="0"/>
                    <w:numPr>
                      <w:ilvl w:val="0"/>
                      <w:numId w:val="2"/>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1245"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30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互感器绕组的直流电阻试验三维仿真</w:t>
                  </w:r>
                </w:p>
              </w:tc>
              <w:tc>
                <w:tcPr>
                  <w:tcW w:w="12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PC仿真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51" w:type="dxa"/>
                  <w:vAlign w:val="center"/>
                </w:tcPr>
                <w:p>
                  <w:pPr>
                    <w:keepNext w:val="0"/>
                    <w:keepLines w:val="0"/>
                    <w:pageBreakBefore w:val="0"/>
                    <w:numPr>
                      <w:ilvl w:val="0"/>
                      <w:numId w:val="2"/>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1245"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30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互感器的tanδ和电容量试验三维仿真</w:t>
                  </w:r>
                </w:p>
              </w:tc>
              <w:tc>
                <w:tcPr>
                  <w:tcW w:w="12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PC仿真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51" w:type="dxa"/>
                  <w:vAlign w:val="center"/>
                </w:tcPr>
                <w:p>
                  <w:pPr>
                    <w:keepNext w:val="0"/>
                    <w:keepLines w:val="0"/>
                    <w:pageBreakBefore w:val="0"/>
                    <w:numPr>
                      <w:ilvl w:val="0"/>
                      <w:numId w:val="2"/>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1245"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110kV避雷器</w:t>
                  </w:r>
                </w:p>
              </w:tc>
              <w:tc>
                <w:tcPr>
                  <w:tcW w:w="30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避雷器绝缘电阻试验三维仿真</w:t>
                  </w:r>
                </w:p>
              </w:tc>
              <w:tc>
                <w:tcPr>
                  <w:tcW w:w="12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PC仿真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51" w:type="dxa"/>
                  <w:vAlign w:val="center"/>
                </w:tcPr>
                <w:p>
                  <w:pPr>
                    <w:keepNext w:val="0"/>
                    <w:keepLines w:val="0"/>
                    <w:pageBreakBefore w:val="0"/>
                    <w:numPr>
                      <w:ilvl w:val="0"/>
                      <w:numId w:val="2"/>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1245"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30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避雷器底座绝缘电阻试验三维仿真</w:t>
                  </w:r>
                </w:p>
              </w:tc>
              <w:tc>
                <w:tcPr>
                  <w:tcW w:w="12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PC仿真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51" w:type="dxa"/>
                  <w:vAlign w:val="center"/>
                </w:tcPr>
                <w:p>
                  <w:pPr>
                    <w:keepNext w:val="0"/>
                    <w:keepLines w:val="0"/>
                    <w:pageBreakBefore w:val="0"/>
                    <w:numPr>
                      <w:ilvl w:val="0"/>
                      <w:numId w:val="2"/>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1245"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30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避雷器直流参考电压及0.75倍直流参考电压下的泄漏电流试验三维仿真</w:t>
                  </w:r>
                </w:p>
              </w:tc>
              <w:tc>
                <w:tcPr>
                  <w:tcW w:w="12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PC仿真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51" w:type="dxa"/>
                  <w:vAlign w:val="center"/>
                </w:tcPr>
                <w:p>
                  <w:pPr>
                    <w:keepNext w:val="0"/>
                    <w:keepLines w:val="0"/>
                    <w:pageBreakBefore w:val="0"/>
                    <w:numPr>
                      <w:ilvl w:val="0"/>
                      <w:numId w:val="2"/>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1245"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30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避雷器运行电压下泄漏电流试验三维仿真</w:t>
                  </w:r>
                </w:p>
              </w:tc>
              <w:tc>
                <w:tcPr>
                  <w:tcW w:w="12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PC仿真</w:t>
                  </w:r>
                </w:p>
              </w:tc>
            </w:tr>
          </w:tbl>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bookmarkStart w:id="3" w:name="_Toc63276947"/>
            <w:bookmarkStart w:id="4" w:name="_Toc7516"/>
            <w:r>
              <w:rPr>
                <w:rFonts w:hint="eastAsia" w:ascii="宋体" w:hAnsi="宋体" w:eastAsia="宋体" w:cs="宋体"/>
                <w:sz w:val="24"/>
                <w:szCs w:val="24"/>
              </w:rPr>
              <w:t>4、试验流程</w:t>
            </w:r>
            <w:bookmarkEnd w:id="3"/>
            <w:bookmarkEnd w:id="4"/>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电气试验仿真培训以各试验项目的标准化作业指导书为基础，以作业前准备、试验设备接线、试验仪器操作、实验数据分析、清理作业现场为关键步骤的试验项目培训流程主线。</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①工作票办理：学员根据作业内容办理相应的工作票</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②工作许可：教员可以对学员办理的工作票进行许可操作</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③准备工器具：在工器具房场景中，准备作业工器具，包括个人工器具、安全工器具、仪器仪表等。</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④试验设备接线：到达试验现场后，按照标准化作业流程对试验设备和试验仪器进行接线。</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⑤试验仪器操作：完成接线后，点击试验仪器，对其参数进行设置，并开始试验。</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 xml:space="preserve">⑥试验数据分析：试验完成后，对试验数据进行记录、分析。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⑦清理作业现场：记录试验数据后，清理作业现场，将其恢复至作业前状态，保证工完、料净、场清。</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bookmarkStart w:id="5" w:name="_Toc63276948"/>
            <w:bookmarkStart w:id="6" w:name="_Toc16105"/>
            <w:r>
              <w:rPr>
                <w:rFonts w:hint="eastAsia" w:ascii="宋体" w:hAnsi="宋体" w:eastAsia="宋体" w:cs="宋体"/>
                <w:sz w:val="24"/>
                <w:szCs w:val="24"/>
              </w:rPr>
              <w:t>5、培训辅助功能</w:t>
            </w:r>
            <w:bookmarkEnd w:id="5"/>
            <w:bookmarkEnd w:id="6"/>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为使得试验项目重难点突出，达到良好的培训效果，使该仿真培训系统成为学员易学易用的培训工具，系统实现以下培训辅助功能：</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①帮助信息查看：提供系统的使用信息和操作方法说明。</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②界面隐藏/显示：该仿真培训系统提供界面隐藏/显示功能，且通过点选隐藏按钮可自由控制界面的显示与否。</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 xml:space="preserve">③步骤跳转：保证学员可任意跳转到不熟悉的步骤或试验的重点步骤进行反复重点练习。   </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④警告信息提示：在练习模式下，系统对学员的操作给予正确与否的反馈提示信息。</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⑤场景高亮提示：对需要点击触发的物体提供高亮显示。</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⑥视野控制功能：保证学员可以通过键盘鼠标控制视野，在试验作业场景中自由漫游，加深对作业环境的熟悉程度。</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napToGrid w:val="0"/>
                <w:sz w:val="24"/>
                <w:szCs w:val="24"/>
              </w:rPr>
            </w:pPr>
            <w:bookmarkStart w:id="7" w:name="_Toc5322"/>
            <w:r>
              <w:rPr>
                <w:rFonts w:hint="eastAsia" w:ascii="宋体" w:hAnsi="宋体" w:eastAsia="宋体" w:cs="宋体"/>
                <w:snapToGrid w:val="0"/>
                <w:sz w:val="24"/>
                <w:szCs w:val="24"/>
              </w:rPr>
              <w:t>（4）电气试验仿真管理系统</w:t>
            </w:r>
            <w:bookmarkEnd w:id="7"/>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仿真管理系统实现受训人员在仿真学习模块中所学知识的基础上，对电气试验作业流程、操作标准、安全管控、试验结果分析等业务技能进行仿真模拟互动操作的考核，通过三维展示和虚拟现实方式实现试验基本项目、工具操作、现场操作、安全管控、试验结果分析、工作终结等仿真模拟效果，使受训人员在不同工况和初始条件下能进行知识考核、操作考核等培训，达到安全作业水平与试验技能水平共同提高的目的，同时满足试验技能等级评价、技能竞赛的培训需求。</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2、仿真管理系统应通过培训行为采集组件实时监听各类用户事件，收集事件产生的各类数据，持久化存储于数据库中。</w:t>
            </w:r>
          </w:p>
          <w:p>
            <w:pPr>
              <w:pStyle w:val="7"/>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3、变电站电气试验作业项目多，内容知识点丰富，因而仿真培训系统要支持基于试验步骤的考题设置功能，包括考题的显示与查询、新增考题、编辑考题、删除考题、考题预览等功能。具体要求如下表所示。</w:t>
            </w:r>
          </w:p>
          <w:tbl>
            <w:tblPr>
              <w:tblStyle w:val="11"/>
              <w:tblW w:w="6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436"/>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3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43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功能名称</w:t>
                  </w:r>
                </w:p>
              </w:tc>
              <w:tc>
                <w:tcPr>
                  <w:tcW w:w="411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83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43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显示与查询</w:t>
                  </w:r>
                </w:p>
              </w:tc>
              <w:tc>
                <w:tcPr>
                  <w:tcW w:w="4111"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显示考题信息列表，支持列表排序，支持按名称、分类、时间等进行关联查询。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83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43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新增考题</w:t>
                  </w:r>
                </w:p>
              </w:tc>
              <w:tc>
                <w:tcPr>
                  <w:tcW w:w="4111"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新增考题信息，包括名称、描述、回答次数、合格分数、考题模式、分类、时间等。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83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43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编辑考题</w:t>
                  </w:r>
                </w:p>
              </w:tc>
              <w:tc>
                <w:tcPr>
                  <w:tcW w:w="4111"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新增考题信息，包括名称、描述、答卷次数、合格分数、考题模式、分类、时间等。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3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43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删除考题</w:t>
                  </w:r>
                </w:p>
              </w:tc>
              <w:tc>
                <w:tcPr>
                  <w:tcW w:w="4111"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删除及批量删除。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3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43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考题预考题</w:t>
                  </w:r>
                </w:p>
              </w:tc>
              <w:tc>
                <w:tcPr>
                  <w:tcW w:w="4111"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预览考题。</w:t>
                  </w:r>
                </w:p>
              </w:tc>
            </w:tr>
          </w:tbl>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4、为使本项目的培训系统达到良好的培训效果，系统实现“学、练、考”的闭环培训模式。</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sz w:val="24"/>
                <w:szCs w:val="24"/>
              </w:rPr>
            </w:pPr>
            <w:bookmarkStart w:id="8" w:name="_Toc25233"/>
            <w:r>
              <w:rPr>
                <w:rFonts w:hint="eastAsia" w:ascii="宋体" w:hAnsi="宋体" w:eastAsia="宋体" w:cs="宋体"/>
                <w:b/>
                <w:sz w:val="24"/>
                <w:szCs w:val="24"/>
              </w:rPr>
              <w:t>四、技术指标</w:t>
            </w:r>
            <w:bookmarkEnd w:id="8"/>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napToGrid w:val="0"/>
                <w:sz w:val="24"/>
                <w:szCs w:val="24"/>
              </w:rPr>
            </w:pPr>
            <w:bookmarkStart w:id="9" w:name="_Toc28226"/>
            <w:r>
              <w:rPr>
                <w:rFonts w:hint="eastAsia" w:ascii="宋体" w:hAnsi="宋体" w:eastAsia="宋体" w:cs="宋体"/>
                <w:snapToGrid w:val="0"/>
                <w:sz w:val="24"/>
                <w:szCs w:val="24"/>
              </w:rPr>
              <w:t>（1）三维模型指标</w:t>
            </w:r>
            <w:bookmarkEnd w:id="9"/>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1、1:1仿真：场景及设备、装备建模以实际尺寸、规格为基准，并以关于三维建模相关标准完成模型制作。</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2、模型优化：对模型进行优化，降低硬件的压力，保证输出帧率达到60帧/s以上。</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3、模型动画：包含人物、工具等动画内容，画面自然、合理，运行效果流畅不失真，模型格式为FBX格式。</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4、模型命名：建模所涉及到的模型及材质名称命名使用英文或常用符号,所组成的字串不超过32个字节。</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5、模型贴图：贴图象素大小为2的n次方，如256x512、128x128、512x256等，贴图应清晰，表现内容真实，有层次。</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6、使用次时代建模技术：利用高模烘焙的法线贴图回帖到低模上，让低模在引擎里可以及时显示高模的视觉效果。</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napToGrid w:val="0"/>
                <w:sz w:val="24"/>
                <w:szCs w:val="24"/>
              </w:rPr>
            </w:pPr>
            <w:bookmarkStart w:id="10" w:name="_Toc4373"/>
            <w:r>
              <w:rPr>
                <w:rFonts w:hint="eastAsia" w:ascii="宋体" w:hAnsi="宋体" w:eastAsia="宋体" w:cs="宋体"/>
                <w:snapToGrid w:val="0"/>
                <w:sz w:val="24"/>
                <w:szCs w:val="24"/>
              </w:rPr>
              <w:t>（2）交互质量指标</w:t>
            </w:r>
            <w:bookmarkEnd w:id="10"/>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交互质量代表用户在体验过程中，和场景内容操作交互的体验。系统对用户的动作响应应该很流畅，与真实世界一样，感觉不到任何拖拽、迟滞或不同步，交互自由度与真实世界一致、舒适、自由、操作灵活方便。系统应满足以下指标：</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1、时延MTP≤20毫秒</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2、黑边率（BLR）≤1%</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napToGrid w:val="0"/>
                <w:sz w:val="24"/>
                <w:szCs w:val="24"/>
              </w:rPr>
            </w:pPr>
            <w:bookmarkStart w:id="11" w:name="_Toc1628"/>
            <w:r>
              <w:rPr>
                <w:rFonts w:hint="eastAsia" w:ascii="宋体" w:hAnsi="宋体" w:eastAsia="宋体" w:cs="宋体"/>
                <w:snapToGrid w:val="0"/>
                <w:sz w:val="24"/>
                <w:szCs w:val="24"/>
              </w:rPr>
              <w:t>（3）系统实时性指标</w:t>
            </w:r>
            <w:bookmarkEnd w:id="11"/>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为保证网络访问、资源调用及对操作响应的实时性应尽可能快，所有仿真培训系统应尽可能优化程序，占用资源少，有足够的实时响应速度，资源加载或调出时间不大于5秒。</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napToGrid w:val="0"/>
                <w:sz w:val="24"/>
                <w:szCs w:val="24"/>
              </w:rPr>
            </w:pPr>
            <w:bookmarkStart w:id="12" w:name="_Toc26934"/>
            <w:bookmarkStart w:id="13" w:name="_Toc401753052"/>
            <w:bookmarkStart w:id="14" w:name="_Toc4335"/>
            <w:bookmarkStart w:id="15" w:name="_Toc2426"/>
            <w:bookmarkStart w:id="16" w:name="_Toc30415"/>
            <w:r>
              <w:rPr>
                <w:rFonts w:hint="eastAsia" w:ascii="宋体" w:hAnsi="宋体" w:eastAsia="宋体" w:cs="宋体"/>
                <w:snapToGrid w:val="0"/>
                <w:sz w:val="24"/>
                <w:szCs w:val="24"/>
              </w:rPr>
              <w:t>（4）系统资源充裕度指标</w:t>
            </w:r>
            <w:bookmarkEnd w:id="12"/>
            <w:bookmarkEnd w:id="13"/>
            <w:bookmarkEnd w:id="14"/>
            <w:bookmarkEnd w:id="15"/>
            <w:bookmarkEnd w:id="16"/>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sz w:val="24"/>
                <w:szCs w:val="24"/>
              </w:rPr>
              <w:t>为保证</w:t>
            </w:r>
            <w:r>
              <w:rPr>
                <w:rFonts w:hint="eastAsia" w:ascii="宋体" w:hAnsi="宋体" w:eastAsia="宋体" w:cs="宋体"/>
                <w:kern w:val="0"/>
                <w:sz w:val="24"/>
                <w:szCs w:val="24"/>
              </w:rPr>
              <w:t>电气试验仿真教学系统稳定</w:t>
            </w:r>
            <w:r>
              <w:rPr>
                <w:rFonts w:hint="eastAsia" w:ascii="宋体" w:hAnsi="宋体" w:eastAsia="宋体" w:cs="宋体"/>
                <w:sz w:val="24"/>
                <w:szCs w:val="24"/>
              </w:rPr>
              <w:t>运行，计算机在运行过程中留有一定的资源裕度，并按下述指标确定：</w:t>
            </w:r>
          </w:p>
          <w:p>
            <w:pPr>
              <w:keepNext w:val="0"/>
              <w:keepLines w:val="0"/>
              <w:pageBreakBefore w:val="0"/>
              <w:tabs>
                <w:tab w:val="left" w:pos="425"/>
              </w:tabs>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1、CPU负荷率在正常状态下任意5分钟时间内小于35％，在任意10秒内小于50％。</w:t>
            </w:r>
          </w:p>
          <w:p>
            <w:pPr>
              <w:keepNext w:val="0"/>
              <w:keepLines w:val="0"/>
              <w:pageBreakBefore w:val="0"/>
              <w:tabs>
                <w:tab w:val="left" w:pos="425"/>
              </w:tabs>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2、备用内存容量 &gt; 50％；</w:t>
            </w:r>
          </w:p>
          <w:p>
            <w:pPr>
              <w:keepNext w:val="0"/>
              <w:keepLines w:val="0"/>
              <w:pageBreakBefore w:val="0"/>
              <w:tabs>
                <w:tab w:val="left" w:pos="425"/>
              </w:tabs>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3、备用外存容量 &gt; 100％。</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napToGrid w:val="0"/>
                <w:sz w:val="24"/>
                <w:szCs w:val="24"/>
              </w:rPr>
            </w:pPr>
            <w:bookmarkStart w:id="17" w:name="_Toc401753054"/>
            <w:bookmarkStart w:id="18" w:name="_Toc22837"/>
            <w:bookmarkStart w:id="19" w:name="_Toc27006"/>
            <w:bookmarkStart w:id="20" w:name="_Toc19707"/>
            <w:bookmarkStart w:id="21" w:name="_Toc14779"/>
            <w:r>
              <w:rPr>
                <w:rFonts w:hint="eastAsia" w:ascii="宋体" w:hAnsi="宋体" w:eastAsia="宋体" w:cs="宋体"/>
                <w:snapToGrid w:val="0"/>
                <w:sz w:val="24"/>
                <w:szCs w:val="24"/>
              </w:rPr>
              <w:t>（5）软件安全性指标</w:t>
            </w:r>
            <w:bookmarkEnd w:id="17"/>
            <w:bookmarkEnd w:id="18"/>
            <w:bookmarkEnd w:id="19"/>
            <w:bookmarkEnd w:id="20"/>
            <w:bookmarkEnd w:id="21"/>
          </w:p>
          <w:p>
            <w:pPr>
              <w:pStyle w:val="7"/>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rPr>
              <w:t>电气试验仿真教学系统</w:t>
            </w:r>
            <w:r>
              <w:rPr>
                <w:rFonts w:hint="eastAsia" w:ascii="宋体" w:hAnsi="宋体" w:eastAsia="宋体" w:cs="宋体"/>
                <w:sz w:val="24"/>
                <w:szCs w:val="24"/>
              </w:rPr>
              <w:t>采取安全措施以防止软件及各种资源文件被非法复制、修改等。</w:t>
            </w:r>
          </w:p>
        </w:tc>
        <w:tc>
          <w:tcPr>
            <w:tcW w:w="765" w:type="dxa"/>
            <w:vAlign w:val="center"/>
          </w:tcPr>
          <w:p>
            <w:pPr>
              <w:pStyle w:val="7"/>
              <w:keepNext w:val="0"/>
              <w:keepLines w:val="0"/>
              <w:pageBreakBefore w:val="0"/>
              <w:kinsoku/>
              <w:wordWrap/>
              <w:overflowPunct/>
              <w:topLinePunct w:val="0"/>
              <w:autoSpaceDE/>
              <w:autoSpaceDN/>
              <w:bidi w:val="0"/>
              <w:adjustRightInd/>
              <w:snapToGrid/>
              <w:spacing w:line="400" w:lineRule="exact"/>
              <w:ind w:firstLine="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w:t>
            </w:r>
          </w:p>
        </w:tc>
        <w:tc>
          <w:tcPr>
            <w:tcW w:w="76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10" w:type="dxa"/>
            <w:vAlign w:val="center"/>
          </w:tcPr>
          <w:p>
            <w:pPr>
              <w:pStyle w:val="15"/>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9</w:t>
            </w:r>
          </w:p>
        </w:tc>
        <w:tc>
          <w:tcPr>
            <w:tcW w:w="91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霍尔效应实验组合仪</w:t>
            </w:r>
          </w:p>
        </w:tc>
        <w:tc>
          <w:tcPr>
            <w:tcW w:w="6465"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（1）实验内容</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1）了解霍尔效应的基本原理；</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2）测量霍尔电压VH与工作电流Is的关系；</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3）测量霍尔电压VH与磁感应强度B的关系；</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4）测量磁感应强度B与励磁电流IM的关系；</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5）测量霍尔元件的霍尔灵敏度；</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6）研究电磁铁磁场分布。</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（2）技术参数</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1）采用电磁铁提供磁场，电磁铁磁场可调范围0～350mT；电磁铁励磁电流0～0.5A连续可调，调节细度＜1mA，稳定性＜10-5，3位半数字电压表显示；</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2）数字特斯拉计实时显示电磁铁磁感应强度，测量范围0～1000.0mT，最小分辨率0.1mT，4位半数字电压表显示；</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3）待测霍尔元件和特斯拉计传感器均采用独立霍尔元件；</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4）霍尔工作电流0～3.5mA连续可调，最小分辨率10µA，3位半数字电压表显示；</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5）霍尔电压表0～2.0000V，最小分辨率0.1mV，4位半数字电压表显示；</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6）四组测量值，都配有表头独立显示；使实验数据一目了然；</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7）励磁电流和霍尔工作电流采用电子换向开关</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8）可调移动尺调节范围：14mm～44mm；</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9）砷化镓霍尔片，霍尔灵敏度≥150mV/(mA·T)。</w:t>
            </w:r>
          </w:p>
          <w:p>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10）机身配置物联网+软件服务系统：程序兼容安卓和IOS系统，须提供二维码识别，可进行信息采集、数据下载、售后服务线上报修等。</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kern w:val="0"/>
                <w:sz w:val="24"/>
                <w:szCs w:val="24"/>
              </w:rPr>
            </w:pPr>
            <w:r>
              <w:rPr>
                <w:rFonts w:hint="eastAsia" w:ascii="宋体" w:hAnsi="宋体" w:eastAsia="宋体" w:cs="宋体"/>
                <w:b/>
                <w:bCs/>
                <w:sz w:val="24"/>
                <w:szCs w:val="24"/>
              </w:rPr>
              <w:t>须提供霍尔效应实验组合仪样品。</w:t>
            </w:r>
          </w:p>
        </w:tc>
        <w:tc>
          <w:tcPr>
            <w:tcW w:w="76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4"/>
                <w:szCs w:val="24"/>
              </w:rPr>
            </w:pPr>
            <w:r>
              <w:rPr>
                <w:rFonts w:hint="eastAsia" w:ascii="宋体" w:hAnsi="宋体" w:eastAsia="宋体" w:cs="宋体"/>
                <w:b w:val="0"/>
                <w:bCs/>
                <w:color w:val="auto"/>
                <w:kern w:val="0"/>
                <w:sz w:val="24"/>
                <w:szCs w:val="24"/>
              </w:rPr>
              <w:t>30</w:t>
            </w:r>
          </w:p>
        </w:tc>
        <w:tc>
          <w:tcPr>
            <w:tcW w:w="768" w:type="dxa"/>
            <w:vAlign w:val="center"/>
          </w:tcPr>
          <w:p>
            <w:pPr>
              <w:pStyle w:val="7"/>
              <w:keepNext w:val="0"/>
              <w:keepLines w:val="0"/>
              <w:pageBreakBefore w:val="0"/>
              <w:kinsoku/>
              <w:wordWrap/>
              <w:overflowPunct/>
              <w:topLinePunct w:val="0"/>
              <w:autoSpaceDE/>
              <w:autoSpaceDN/>
              <w:bidi w:val="0"/>
              <w:adjustRightInd/>
              <w:snapToGrid/>
              <w:spacing w:line="400" w:lineRule="exact"/>
              <w:ind w:firstLine="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10" w:type="dxa"/>
            <w:vAlign w:val="center"/>
          </w:tcPr>
          <w:p>
            <w:pPr>
              <w:pStyle w:val="15"/>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10</w:t>
            </w:r>
          </w:p>
        </w:tc>
        <w:tc>
          <w:tcPr>
            <w:tcW w:w="91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声速测量仪</w:t>
            </w:r>
          </w:p>
        </w:tc>
        <w:tc>
          <w:tcPr>
            <w:tcW w:w="6465"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（1）测试距离：50～300 mm；</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（2）采用7寸彩色触摸屏设计，具备声速测定、多普勒效应以及波形输出功能，正弦波和方波频率1Hz-999999.999Hz可调，触摸屏调节，最小调节分辨率0.001Hz；脉冲波宽度：75μs，周期：30ms；</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（3）数字温度传感器DS18b20，测温范围－55℃～+125℃，触摸屏实时显示；</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（4）计数定时器测量范围0.1μs～1s，最小分辨率0.1μs，分辨率1μs /0.1μs可设定；</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（5）放大增益，连续可调，最大倍数＞200倍；</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（6）正弦波：输出幅度1～25VP-P连续可调；</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（7）测量方法：驻波法、相位法、时差法；</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（8）测量介质：空气、液体；液槽可脱卸，使用方便；</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（9）采用游标卡尺读数机构，最小分辨率0.02mm，避免丝杆鼓轮读数系统带来的回程差问题；</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（10）双杆定位丝杆传动系统设计，调节更平稳；</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（11）该测试仪可以直接用作多普勒效应实验或者其他振动力学实验；</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kern w:val="0"/>
                <w:sz w:val="24"/>
                <w:szCs w:val="24"/>
              </w:rPr>
            </w:pPr>
            <w:r>
              <w:rPr>
                <w:rFonts w:hint="eastAsia" w:ascii="宋体" w:hAnsi="宋体" w:eastAsia="宋体" w:cs="宋体"/>
                <w:sz w:val="24"/>
                <w:szCs w:val="24"/>
              </w:rPr>
              <w:t>（12）机身配置物联网+软件服务系统：程序兼容安卓和IOS系统，须提供二维码识别，可进行信息采集、数据下载、售后服务线上报修等。</w:t>
            </w:r>
          </w:p>
        </w:tc>
        <w:tc>
          <w:tcPr>
            <w:tcW w:w="76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4"/>
                <w:szCs w:val="24"/>
              </w:rPr>
            </w:pPr>
            <w:r>
              <w:rPr>
                <w:rFonts w:hint="eastAsia" w:ascii="宋体" w:hAnsi="宋体" w:eastAsia="宋体" w:cs="宋体"/>
                <w:b w:val="0"/>
                <w:bCs/>
                <w:color w:val="auto"/>
                <w:kern w:val="0"/>
                <w:sz w:val="24"/>
                <w:szCs w:val="24"/>
              </w:rPr>
              <w:t>30</w:t>
            </w:r>
          </w:p>
        </w:tc>
        <w:tc>
          <w:tcPr>
            <w:tcW w:w="76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10" w:type="dxa"/>
            <w:vAlign w:val="center"/>
          </w:tcPr>
          <w:p>
            <w:pPr>
              <w:pStyle w:val="15"/>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11</w:t>
            </w:r>
          </w:p>
        </w:tc>
        <w:tc>
          <w:tcPr>
            <w:tcW w:w="91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高性能可编程电子负载</w:t>
            </w:r>
          </w:p>
        </w:tc>
        <w:tc>
          <w:tcPr>
            <w:tcW w:w="6465"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（1）单通道DC 150V/30A，总功率300W</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（2）回读分辨率0.1mV，0.1mA</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（3）支持动态/静态：CC/CV/CV/CP；CC动态模式最高25KHz, CP动态模式最高12.5KHz, 动态模式0.5Hz。</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（4）电流上升/下降速率0.001A/us~2.5A/us可调</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（5）电压/电流测试速度最高可达500KHz</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（6）支持短路测试、电池测试、CR-LED功能以及远端补偿Sense功能</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（7）支持100步List编辑及50组编程功能</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（8）支持电压和电流监控输出</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（9）支持过电压、过电流、过功率、过热及反极性保护</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（10）波形趋势图功能，监控被测物趋势</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（11）支持上位机及SCPI远程控制</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（12）支持RS232，USB Host/device，LAN，选配USB-GPIB 等接口</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kern w:val="0"/>
                <w:sz w:val="24"/>
                <w:szCs w:val="24"/>
              </w:rPr>
            </w:pPr>
            <w:r>
              <w:rPr>
                <w:rFonts w:hint="eastAsia" w:ascii="宋体" w:hAnsi="宋体" w:eastAsia="宋体" w:cs="宋体"/>
                <w:sz w:val="24"/>
                <w:szCs w:val="24"/>
              </w:rPr>
              <w:t>（13）不小于3.5英寸TFT 液晶显示屏</w:t>
            </w:r>
          </w:p>
        </w:tc>
        <w:tc>
          <w:tcPr>
            <w:tcW w:w="765" w:type="dxa"/>
            <w:vAlign w:val="center"/>
          </w:tcPr>
          <w:p>
            <w:pPr>
              <w:pStyle w:val="7"/>
              <w:keepNext w:val="0"/>
              <w:keepLines w:val="0"/>
              <w:pageBreakBefore w:val="0"/>
              <w:kinsoku/>
              <w:wordWrap/>
              <w:overflowPunct/>
              <w:topLinePunct w:val="0"/>
              <w:autoSpaceDE/>
              <w:autoSpaceDN/>
              <w:bidi w:val="0"/>
              <w:adjustRightInd/>
              <w:snapToGrid/>
              <w:spacing w:line="400" w:lineRule="exact"/>
              <w:ind w:firstLine="0"/>
              <w:jc w:val="center"/>
              <w:rPr>
                <w:rFonts w:hint="eastAsia" w:ascii="宋体" w:hAnsi="宋体" w:eastAsia="宋体" w:cs="宋体"/>
                <w:b w:val="0"/>
                <w:bCs/>
                <w:color w:val="auto"/>
                <w:sz w:val="24"/>
                <w:szCs w:val="24"/>
              </w:rPr>
            </w:pPr>
            <w:r>
              <w:rPr>
                <w:rFonts w:hint="eastAsia" w:ascii="宋体" w:hAnsi="宋体" w:eastAsia="宋体" w:cs="宋体"/>
                <w:b w:val="0"/>
                <w:bCs/>
                <w:color w:val="auto"/>
                <w:kern w:val="0"/>
                <w:sz w:val="24"/>
                <w:szCs w:val="24"/>
              </w:rPr>
              <w:t>30</w:t>
            </w:r>
          </w:p>
        </w:tc>
        <w:tc>
          <w:tcPr>
            <w:tcW w:w="76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10" w:type="dxa"/>
            <w:vAlign w:val="center"/>
          </w:tcPr>
          <w:p>
            <w:pPr>
              <w:pStyle w:val="15"/>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12</w:t>
            </w:r>
          </w:p>
        </w:tc>
        <w:tc>
          <w:tcPr>
            <w:tcW w:w="91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双路任意波形发生器</w:t>
            </w:r>
          </w:p>
        </w:tc>
        <w:tc>
          <w:tcPr>
            <w:tcW w:w="6465"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（1）等性能双通道信号输出</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（2）正弦波输出频率1uHz~120MHz</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（3）采样率≥1GSa/S</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（4）逐点输出技术</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（5）垂直分辨率16-bit</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（6）方波频率不小于25MHz</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（7）高斯白噪声不小于120MHz</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（8）任意波形长度8M点</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（9）时基精度：±1ppm</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（10）能够输出低抖动方波/脉冲波形，同时脉冲波可以做到脉宽、上升/下降沿精细可调。</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（11）输出幅度(高阻)：≤20MHz: 2mVpp to 20 Vpp；＞20 MHz:2mVpp to 10 Vpp</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（12）方波特性：频率1uHz ~ 25MHz；上升、下降时间9nS ；过冲3%；占空比0.001% ~ 99.999%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（13）脉冲特性：频率1uHz ~ 25MHz；脉宽最小16.3ns；上升/下降时间可调8.4n ~ 22.4s ；过冲: 3%；占空比0.001~99.999%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（14）谐波发生器功能，可产生大于8次谐波</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（15）丰富的模拟和数字调制功能：AM、DSB-AM、FM、PM、FSK、ASK和PWM</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（16）Sweep功能与Burst功能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（17）配置通道复制、通道耦合以及通道合并等功能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（18）内建任意波形大于190种</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（19）硬件频率计功能：100mHz ~ 200MHz</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（20）提供功能强大的任意波形编辑器。产生波形方式有标准函数、公式编辑器和波形数学算功能进行编辑任意波形</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（21）标配以太网LAN以及USB Host，USB Device等外围接口</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kern w:val="0"/>
                <w:sz w:val="24"/>
                <w:szCs w:val="24"/>
              </w:rPr>
            </w:pPr>
            <w:r>
              <w:rPr>
                <w:rFonts w:hint="eastAsia" w:ascii="宋体" w:hAnsi="宋体" w:eastAsia="宋体" w:cs="宋体"/>
                <w:sz w:val="24"/>
                <w:szCs w:val="24"/>
              </w:rPr>
              <w:t>（22）4.3英寸TFT-LCD显示屏并支持触摸操作。支持基于BS 架构和LAN 连接的实验室智能管理系统。并可与实验室现有设备智能管理系统兼容，对设备进行统一管理。</w:t>
            </w:r>
            <w:r>
              <w:rPr>
                <w:rFonts w:hint="eastAsia" w:ascii="宋体" w:hAnsi="宋体" w:eastAsia="宋体" w:cs="宋体"/>
                <w:strike w:val="0"/>
                <w:dstrike w:val="0"/>
                <w:color w:val="auto"/>
                <w:sz w:val="24"/>
                <w:szCs w:val="24"/>
                <w:highlight w:val="none"/>
                <w:lang w:val="en-US" w:eastAsia="zh-CN"/>
              </w:rPr>
              <w:t>中标人</w:t>
            </w:r>
            <w:r>
              <w:rPr>
                <w:rFonts w:hint="eastAsia" w:ascii="宋体" w:hAnsi="宋体" w:eastAsia="宋体" w:cs="宋体"/>
                <w:sz w:val="24"/>
                <w:szCs w:val="24"/>
              </w:rPr>
              <w:t>须负责设备与设备智能管理系统的整合连接。</w:t>
            </w:r>
          </w:p>
        </w:tc>
        <w:tc>
          <w:tcPr>
            <w:tcW w:w="76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4"/>
                <w:szCs w:val="24"/>
              </w:rPr>
            </w:pPr>
            <w:r>
              <w:rPr>
                <w:rFonts w:hint="eastAsia" w:ascii="宋体" w:hAnsi="宋体" w:eastAsia="宋体" w:cs="宋体"/>
                <w:b w:val="0"/>
                <w:bCs/>
                <w:color w:val="auto"/>
                <w:kern w:val="0"/>
                <w:sz w:val="24"/>
                <w:szCs w:val="24"/>
              </w:rPr>
              <w:t>60</w:t>
            </w:r>
          </w:p>
        </w:tc>
        <w:tc>
          <w:tcPr>
            <w:tcW w:w="76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10" w:type="dxa"/>
            <w:vAlign w:val="center"/>
          </w:tcPr>
          <w:p>
            <w:pPr>
              <w:pStyle w:val="15"/>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13</w:t>
            </w:r>
          </w:p>
        </w:tc>
        <w:tc>
          <w:tcPr>
            <w:tcW w:w="91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高精度万用表</w:t>
            </w:r>
          </w:p>
        </w:tc>
        <w:tc>
          <w:tcPr>
            <w:tcW w:w="6465"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（1）真6½位读数分辨率数字万用表(2,200,000 Count)</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（2）基本直流电压准确度0.0035%</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（3）测量种类:直流电压、交流电压、直流电流、交流电流、2线电阻、4线电阻、电容、二极管、连通性、频率、周期、温度</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（4）直流电压测量：200 mV，2V，20V，200V，1000V；</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（5）直流电流测量：200 μA，2mA，20mA，200mA，2A，10A</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（6）交流电压测量：True-RMS，200 mV，2V，20V，200V，750V</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（7）交流电流测量：True-RMS，200μA，2mA，20mA，200mA，2A，10 A</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（8）2、4线电阻测量：200 Ω，2K，20K，200K，1M，10M，100MΩ</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（9）电容测量：2 nF，20nF，200nF，2μF，20μF，200μF，2mF，20mF，100mF</w:t>
            </w:r>
            <w:bookmarkStart w:id="22" w:name="_GoBack"/>
            <w:bookmarkEnd w:id="22"/>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（10）频率与周期测量：3Hz ~ 1 MHz; 1uS ~ 0.33S</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（11）二极管测试门限电压不小于4V,可调。</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（12）连通性测试门限电阻不小于2KΩ，可调</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（13）支持热电偶，热电阻温度传感器温度测量。支持热电偶类型：B,E,J,K,N,R,S,T</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（14）高精度的小电容测量特性:最小可测试2pF高精度的小电容</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（15）支持测量最小值/最大值/平均值、dBm、dB、限值、相对（Relative）、标准差、直方图、趋势曲线、条形图测量等。</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（16）具有10K易失性读数存储能力</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（17）内置 1 Gb Nand Flash 总容量，海量存储仪器设置文件和数据文件</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（18）内置热电偶冷端补偿</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（19）支持标准SCPI 远程控制命令、上位机软件、兼容最新主流万用表命令集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（20）设置和测量数据可通过VXI11，USBTMC, U 盘导入或者导出以方便用户修改，查看，备份</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（21）支持双显示测量模式</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（22）标配接口：USB Host，USB Device， LAN接口</w:t>
            </w:r>
          </w:p>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left"/>
              <w:textAlignment w:val="auto"/>
              <w:rPr>
                <w:rFonts w:hint="eastAsia" w:ascii="宋体" w:hAnsi="宋体" w:eastAsia="宋体" w:cs="宋体"/>
                <w:b w:val="0"/>
                <w:bCs/>
                <w:color w:val="auto"/>
                <w:kern w:val="0"/>
                <w:sz w:val="24"/>
                <w:szCs w:val="24"/>
              </w:rPr>
            </w:pPr>
            <w:r>
              <w:rPr>
                <w:rFonts w:hint="eastAsia" w:ascii="宋体" w:hAnsi="宋体" w:eastAsia="宋体" w:cs="宋体"/>
                <w:sz w:val="24"/>
                <w:szCs w:val="24"/>
              </w:rPr>
              <w:t>（23）不小于4.3英寸（480*272）真彩TFT-LCD显示屏。支持基于BS 架构和LAN 连接的实验室智能管理系统。并可与实验室现有设备智能管理系统兼容，对设备进行统一管理。</w:t>
            </w:r>
            <w:r>
              <w:rPr>
                <w:rFonts w:hint="eastAsia" w:ascii="宋体" w:hAnsi="宋体" w:eastAsia="宋体" w:cs="宋体"/>
                <w:strike w:val="0"/>
                <w:dstrike w:val="0"/>
                <w:color w:val="auto"/>
                <w:sz w:val="24"/>
                <w:szCs w:val="24"/>
                <w:highlight w:val="none"/>
                <w:lang w:val="en-US" w:eastAsia="zh-CN"/>
              </w:rPr>
              <w:t>中标人</w:t>
            </w:r>
            <w:r>
              <w:rPr>
                <w:rFonts w:hint="eastAsia" w:ascii="宋体" w:hAnsi="宋体" w:eastAsia="宋体" w:cs="宋体"/>
                <w:color w:val="auto"/>
                <w:sz w:val="24"/>
                <w:szCs w:val="24"/>
                <w:highlight w:val="none"/>
              </w:rPr>
              <w:t>须</w:t>
            </w:r>
            <w:r>
              <w:rPr>
                <w:rFonts w:hint="eastAsia" w:ascii="宋体" w:hAnsi="宋体" w:eastAsia="宋体" w:cs="宋体"/>
                <w:sz w:val="24"/>
                <w:szCs w:val="24"/>
              </w:rPr>
              <w:t>负责设备与设备智能管理系统的整合连接。</w:t>
            </w:r>
          </w:p>
        </w:tc>
        <w:tc>
          <w:tcPr>
            <w:tcW w:w="76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4"/>
                <w:szCs w:val="24"/>
              </w:rPr>
            </w:pPr>
            <w:r>
              <w:rPr>
                <w:rFonts w:hint="eastAsia" w:ascii="宋体" w:hAnsi="宋体" w:eastAsia="宋体" w:cs="宋体"/>
                <w:b w:val="0"/>
                <w:bCs/>
                <w:color w:val="auto"/>
                <w:kern w:val="0"/>
                <w:sz w:val="24"/>
                <w:szCs w:val="24"/>
              </w:rPr>
              <w:t>60</w:t>
            </w:r>
          </w:p>
        </w:tc>
        <w:tc>
          <w:tcPr>
            <w:tcW w:w="76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10" w:type="dxa"/>
            <w:vAlign w:val="center"/>
          </w:tcPr>
          <w:p>
            <w:pPr>
              <w:pStyle w:val="15"/>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14</w:t>
            </w:r>
          </w:p>
        </w:tc>
        <w:tc>
          <w:tcPr>
            <w:tcW w:w="91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LCR数字电桥</w:t>
            </w:r>
          </w:p>
        </w:tc>
        <w:tc>
          <w:tcPr>
            <w:tcW w:w="6465"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（1）设备性能</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240" w:firstLineChars="1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1）4.3寸TFT液晶显示</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240" w:firstLineChars="1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2）50Hz－100kHz，11个典型测试频率</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240" w:firstLineChars="1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3）位读数分辨率</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240" w:firstLineChars="1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4）测试速度：19ms</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240" w:firstLineChars="1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5）中英文可选操作界面</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240" w:firstLineChars="1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6）10档分选，测试分选更完善</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240" w:firstLineChars="1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7）40组LCRZ仪器设定文件</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240" w:firstLineChars="1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8）软电源开关</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240" w:firstLineChars="1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9）支持110V/220V两种电源电压</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240" w:firstLineChars="1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10）10点列表扫描，支持多频测试分选</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240" w:firstLineChars="1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11）低信号源输出失调 (&lt;100μV），满足大电感、共模扼流圈 电感测试需求</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240" w:firstLineChars="1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12）强抗冲击保护能力</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240" w:firstLineChars="1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13）空夹具判断</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240" w:firstLineChars="1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14）截屏功能</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240" w:firstLineChars="1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15）自动LCZ功能</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240" w:firstLineChars="1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16）常规、自动化测试两种界面</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（2）技术参数</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240" w:firstLineChars="1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w:t>
            </w:r>
            <w:r>
              <w:rPr>
                <w:rFonts w:hint="eastAsia" w:ascii="宋体" w:hAnsi="宋体" w:eastAsia="宋体" w:cs="宋体"/>
                <w:color w:val="231F20"/>
                <w:kern w:val="0"/>
                <w:sz w:val="24"/>
                <w:szCs w:val="24"/>
              </w:rPr>
              <w:t>基本测量准确度：0.1%</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240" w:firstLineChars="1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w:t>
            </w:r>
            <w:r>
              <w:rPr>
                <w:rFonts w:hint="eastAsia" w:ascii="宋体" w:hAnsi="宋体" w:eastAsia="宋体" w:cs="宋体"/>
                <w:color w:val="231F20"/>
                <w:kern w:val="0"/>
                <w:sz w:val="24"/>
                <w:szCs w:val="24"/>
              </w:rPr>
              <w:t>测试频率：50Hz,60Hz,100Hz,120Hz,1kHz,10kHz,16kHz,20kHz,40kHz,50kHz,100kHz，共11点</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240" w:firstLineChars="1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w:t>
            </w:r>
            <w:r>
              <w:rPr>
                <w:rFonts w:hint="eastAsia" w:ascii="宋体" w:hAnsi="宋体" w:eastAsia="宋体" w:cs="宋体"/>
                <w:color w:val="231F20"/>
                <w:kern w:val="0"/>
                <w:sz w:val="24"/>
                <w:szCs w:val="24"/>
              </w:rPr>
              <w:t xml:space="preserve"> 测试参数：L、C、R、|Z|、D、Q、X、θd、θr、Vm、Im、△%</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240" w:firstLineChars="1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4）</w:t>
            </w:r>
            <w:r>
              <w:rPr>
                <w:rFonts w:hint="eastAsia" w:ascii="宋体" w:hAnsi="宋体" w:eastAsia="宋体" w:cs="宋体"/>
                <w:color w:val="231F20"/>
                <w:kern w:val="0"/>
                <w:sz w:val="24"/>
                <w:szCs w:val="24"/>
              </w:rPr>
              <w:t>V/I 监视</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240" w:firstLineChars="1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5）</w:t>
            </w:r>
            <w:r>
              <w:rPr>
                <w:rFonts w:hint="eastAsia" w:ascii="宋体" w:hAnsi="宋体" w:eastAsia="宋体" w:cs="宋体"/>
                <w:color w:val="231F20"/>
                <w:kern w:val="0"/>
                <w:sz w:val="24"/>
                <w:szCs w:val="24"/>
              </w:rPr>
              <w:t>AC信号电平：0.01Vrms、0.02Vrms、0.05Vrms、0.1Vrms、0.25Vrms、0.5Vrms、1Vrms</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240" w:firstLineChars="1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6）</w:t>
            </w:r>
            <w:r>
              <w:rPr>
                <w:rFonts w:hint="eastAsia" w:ascii="宋体" w:hAnsi="宋体" w:eastAsia="宋体" w:cs="宋体"/>
                <w:color w:val="231F20"/>
                <w:kern w:val="0"/>
                <w:sz w:val="24"/>
                <w:szCs w:val="24"/>
              </w:rPr>
              <w:t>测试端配置：5端</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240" w:firstLineChars="1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7）</w:t>
            </w:r>
            <w:r>
              <w:rPr>
                <w:rFonts w:hint="eastAsia" w:ascii="宋体" w:hAnsi="宋体" w:eastAsia="宋体" w:cs="宋体"/>
                <w:color w:val="231F20"/>
                <w:kern w:val="0"/>
                <w:sz w:val="24"/>
                <w:szCs w:val="24"/>
              </w:rPr>
              <w:t>信号源内阻：10Ω、100Ω可选</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240" w:firstLineChars="1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8）</w:t>
            </w:r>
            <w:r>
              <w:rPr>
                <w:rFonts w:hint="eastAsia" w:ascii="宋体" w:hAnsi="宋体" w:eastAsia="宋体" w:cs="宋体"/>
                <w:color w:val="231F20"/>
                <w:kern w:val="0"/>
                <w:sz w:val="24"/>
                <w:szCs w:val="24"/>
              </w:rPr>
              <w:t>测试速度：快速：19ms;中速：83ms;慢速：333ms</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240" w:firstLineChars="1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9）</w:t>
            </w:r>
            <w:r>
              <w:rPr>
                <w:rFonts w:hint="eastAsia" w:ascii="宋体" w:hAnsi="宋体" w:eastAsia="宋体" w:cs="宋体"/>
                <w:color w:val="231F20"/>
                <w:kern w:val="0"/>
                <w:sz w:val="24"/>
                <w:szCs w:val="24"/>
              </w:rPr>
              <w:t>清零功能：开路、短路、负载</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240" w:firstLineChars="1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10）</w:t>
            </w:r>
            <w:r>
              <w:rPr>
                <w:rFonts w:hint="eastAsia" w:ascii="宋体" w:hAnsi="宋体" w:eastAsia="宋体" w:cs="宋体"/>
                <w:color w:val="231F20"/>
                <w:kern w:val="0"/>
                <w:sz w:val="24"/>
                <w:szCs w:val="24"/>
              </w:rPr>
              <w:t>列表扫描：10点列表扫描 每扫描点可单独分选，支持多频合并测试分选。可对频率，AC电压进行扫描测试</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240" w:firstLineChars="1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11）</w:t>
            </w:r>
            <w:r>
              <w:rPr>
                <w:rFonts w:hint="eastAsia" w:ascii="宋体" w:hAnsi="宋体" w:eastAsia="宋体" w:cs="宋体"/>
                <w:color w:val="231F20"/>
                <w:kern w:val="0"/>
                <w:sz w:val="24"/>
                <w:szCs w:val="24"/>
              </w:rPr>
              <w:t>等效方式：串联，并联</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240" w:firstLineChars="100"/>
              <w:jc w:val="left"/>
              <w:textAlignment w:val="auto"/>
              <w:rPr>
                <w:rFonts w:hint="eastAsia" w:ascii="宋体" w:hAnsi="宋体" w:eastAsia="宋体" w:cs="宋体"/>
                <w:color w:val="231F20"/>
                <w:kern w:val="0"/>
                <w:sz w:val="24"/>
                <w:szCs w:val="24"/>
              </w:rPr>
            </w:pPr>
            <w:r>
              <w:rPr>
                <w:rFonts w:hint="eastAsia" w:ascii="宋体" w:hAnsi="宋体" w:eastAsia="宋体" w:cs="宋体"/>
                <w:color w:val="333333"/>
                <w:kern w:val="0"/>
                <w:sz w:val="24"/>
                <w:szCs w:val="24"/>
              </w:rPr>
              <w:t>12）</w:t>
            </w:r>
            <w:r>
              <w:rPr>
                <w:rFonts w:hint="eastAsia" w:ascii="宋体" w:hAnsi="宋体" w:eastAsia="宋体" w:cs="宋体"/>
                <w:color w:val="231F20"/>
                <w:kern w:val="0"/>
                <w:sz w:val="24"/>
                <w:szCs w:val="24"/>
              </w:rPr>
              <w:t>量程方式：自动，保持</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240" w:firstLineChars="100"/>
              <w:jc w:val="left"/>
              <w:textAlignment w:val="auto"/>
              <w:rPr>
                <w:rFonts w:hint="eastAsia" w:ascii="宋体" w:hAnsi="宋体" w:eastAsia="宋体" w:cs="宋体"/>
                <w:color w:val="231F20"/>
                <w:kern w:val="0"/>
                <w:sz w:val="24"/>
                <w:szCs w:val="24"/>
              </w:rPr>
            </w:pPr>
            <w:r>
              <w:rPr>
                <w:rFonts w:hint="eastAsia" w:ascii="宋体" w:hAnsi="宋体" w:eastAsia="宋体" w:cs="宋体"/>
                <w:color w:val="231F20"/>
                <w:kern w:val="0"/>
                <w:sz w:val="24"/>
                <w:szCs w:val="24"/>
              </w:rPr>
              <w:t>13）触发方式：内部，手动，外部，线</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240" w:firstLineChars="100"/>
              <w:jc w:val="left"/>
              <w:textAlignment w:val="auto"/>
              <w:rPr>
                <w:rFonts w:hint="eastAsia" w:ascii="宋体" w:hAnsi="宋体" w:eastAsia="宋体" w:cs="宋体"/>
                <w:color w:val="231F20"/>
                <w:kern w:val="0"/>
                <w:sz w:val="24"/>
                <w:szCs w:val="24"/>
              </w:rPr>
            </w:pPr>
            <w:r>
              <w:rPr>
                <w:rFonts w:hint="eastAsia" w:ascii="宋体" w:hAnsi="宋体" w:eastAsia="宋体" w:cs="宋体"/>
                <w:color w:val="231F20"/>
                <w:kern w:val="0"/>
                <w:sz w:val="24"/>
                <w:szCs w:val="24"/>
              </w:rPr>
              <w:t>14）平均次数：1-255</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240" w:firstLineChars="100"/>
              <w:jc w:val="left"/>
              <w:textAlignment w:val="auto"/>
              <w:rPr>
                <w:rFonts w:hint="eastAsia" w:ascii="宋体" w:hAnsi="宋体" w:eastAsia="宋体" w:cs="宋体"/>
                <w:color w:val="333333"/>
                <w:kern w:val="0"/>
                <w:sz w:val="24"/>
                <w:szCs w:val="24"/>
              </w:rPr>
            </w:pPr>
            <w:r>
              <w:rPr>
                <w:rFonts w:hint="eastAsia" w:ascii="宋体" w:hAnsi="宋体" w:eastAsia="宋体" w:cs="宋体"/>
                <w:color w:val="231F20"/>
                <w:kern w:val="0"/>
                <w:sz w:val="24"/>
                <w:szCs w:val="24"/>
              </w:rPr>
              <w:t>15）数学运算：直读，</w:t>
            </w:r>
            <w:r>
              <w:rPr>
                <w:rFonts w:hint="eastAsia" w:ascii="宋体" w:hAnsi="宋体" w:eastAsia="宋体" w:cs="宋体"/>
                <w:color w:val="333333"/>
                <w:kern w:val="0"/>
                <w:sz w:val="24"/>
                <w:szCs w:val="24"/>
              </w:rPr>
              <w:t>△ABS</w:t>
            </w:r>
            <w:r>
              <w:rPr>
                <w:rFonts w:hint="eastAsia" w:ascii="宋体" w:hAnsi="宋体" w:eastAsia="宋体" w:cs="宋体"/>
                <w:color w:val="231F20"/>
                <w:kern w:val="0"/>
                <w:sz w:val="24"/>
                <w:szCs w:val="24"/>
              </w:rPr>
              <w:t>，</w:t>
            </w:r>
            <w:r>
              <w:rPr>
                <w:rFonts w:hint="eastAsia" w:ascii="宋体" w:hAnsi="宋体" w:eastAsia="宋体" w:cs="宋体"/>
                <w:color w:val="333333"/>
                <w:kern w:val="0"/>
                <w:sz w:val="24"/>
                <w:szCs w:val="24"/>
              </w:rPr>
              <w:t>△%</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240" w:firstLineChars="1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16）</w:t>
            </w:r>
            <w:r>
              <w:rPr>
                <w:rFonts w:hint="eastAsia" w:ascii="宋体" w:hAnsi="宋体" w:eastAsia="宋体" w:cs="宋体"/>
                <w:color w:val="231F20"/>
                <w:kern w:val="0"/>
                <w:sz w:val="24"/>
                <w:szCs w:val="24"/>
              </w:rPr>
              <w:t>延时：触发延时，步进延时：</w:t>
            </w:r>
            <w:r>
              <w:rPr>
                <w:rFonts w:hint="eastAsia" w:ascii="宋体" w:hAnsi="宋体" w:eastAsia="宋体" w:cs="宋体"/>
                <w:color w:val="333333"/>
                <w:kern w:val="0"/>
                <w:sz w:val="24"/>
                <w:szCs w:val="24"/>
              </w:rPr>
              <w:t>0-60.000s</w:t>
            </w:r>
            <w:r>
              <w:rPr>
                <w:rFonts w:hint="eastAsia" w:ascii="宋体" w:hAnsi="宋体" w:eastAsia="宋体" w:cs="宋体"/>
                <w:color w:val="231F20"/>
                <w:kern w:val="0"/>
                <w:sz w:val="24"/>
                <w:szCs w:val="24"/>
              </w:rPr>
              <w:t>，</w:t>
            </w:r>
            <w:r>
              <w:rPr>
                <w:rFonts w:hint="eastAsia" w:ascii="宋体" w:hAnsi="宋体" w:eastAsia="宋体" w:cs="宋体"/>
                <w:color w:val="333333"/>
                <w:kern w:val="0"/>
                <w:sz w:val="24"/>
                <w:szCs w:val="24"/>
              </w:rPr>
              <w:t>1ms</w:t>
            </w:r>
            <w:r>
              <w:rPr>
                <w:rFonts w:hint="eastAsia" w:ascii="宋体" w:hAnsi="宋体" w:eastAsia="宋体" w:cs="宋体"/>
                <w:color w:val="231F20"/>
                <w:kern w:val="0"/>
                <w:sz w:val="24"/>
                <w:szCs w:val="24"/>
              </w:rPr>
              <w:t>步进</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240" w:firstLineChars="100"/>
              <w:jc w:val="left"/>
              <w:textAlignment w:val="auto"/>
              <w:rPr>
                <w:rFonts w:hint="eastAsia" w:ascii="宋体" w:hAnsi="宋体" w:eastAsia="宋体" w:cs="宋体"/>
                <w:color w:val="231F20"/>
                <w:kern w:val="0"/>
                <w:sz w:val="24"/>
                <w:szCs w:val="24"/>
              </w:rPr>
            </w:pPr>
            <w:r>
              <w:rPr>
                <w:rFonts w:hint="eastAsia" w:ascii="宋体" w:hAnsi="宋体" w:eastAsia="宋体" w:cs="宋体"/>
                <w:color w:val="231F20"/>
                <w:kern w:val="0"/>
                <w:sz w:val="24"/>
                <w:szCs w:val="24"/>
              </w:rPr>
              <w:t>17）比较器：10档分选，BIN1-BIN9，NG，AUX 档计数功能 PASS，FALL前面板LED显示</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240" w:firstLineChars="100"/>
              <w:jc w:val="left"/>
              <w:textAlignment w:val="auto"/>
              <w:rPr>
                <w:rFonts w:hint="eastAsia" w:ascii="宋体" w:hAnsi="宋体" w:eastAsia="宋体" w:cs="宋体"/>
                <w:b w:val="0"/>
                <w:bCs/>
                <w:color w:val="auto"/>
                <w:kern w:val="0"/>
                <w:sz w:val="24"/>
                <w:szCs w:val="24"/>
              </w:rPr>
            </w:pPr>
            <w:r>
              <w:rPr>
                <w:rFonts w:hint="eastAsia" w:ascii="宋体" w:hAnsi="宋体" w:eastAsia="宋体" w:cs="宋体"/>
                <w:color w:val="333333"/>
                <w:kern w:val="0"/>
                <w:sz w:val="24"/>
                <w:szCs w:val="24"/>
              </w:rPr>
              <w:t>18）</w:t>
            </w:r>
            <w:r>
              <w:rPr>
                <w:rFonts w:hint="eastAsia" w:ascii="宋体" w:hAnsi="宋体" w:eastAsia="宋体" w:cs="宋体"/>
                <w:color w:val="231F20"/>
                <w:kern w:val="0"/>
                <w:sz w:val="24"/>
                <w:szCs w:val="24"/>
              </w:rPr>
              <w:t>存储：内部非易失性存储40组LCRZ仪器设定文件；外部USB存储器仪器设定文件，CSV数据文件</w:t>
            </w:r>
          </w:p>
        </w:tc>
        <w:tc>
          <w:tcPr>
            <w:tcW w:w="76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4"/>
                <w:szCs w:val="24"/>
              </w:rPr>
            </w:pPr>
            <w:r>
              <w:rPr>
                <w:rFonts w:hint="eastAsia" w:ascii="宋体" w:hAnsi="宋体" w:eastAsia="宋体" w:cs="宋体"/>
                <w:b w:val="0"/>
                <w:bCs/>
                <w:color w:val="auto"/>
                <w:kern w:val="0"/>
                <w:sz w:val="24"/>
                <w:szCs w:val="24"/>
              </w:rPr>
              <w:t>30</w:t>
            </w:r>
          </w:p>
        </w:tc>
        <w:tc>
          <w:tcPr>
            <w:tcW w:w="76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710" w:type="dxa"/>
            <w:vAlign w:val="center"/>
          </w:tcPr>
          <w:p>
            <w:pPr>
              <w:pStyle w:val="15"/>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15</w:t>
            </w:r>
          </w:p>
        </w:tc>
        <w:tc>
          <w:tcPr>
            <w:tcW w:w="91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控制理论·计算机控制技术实验箱</w:t>
            </w:r>
          </w:p>
        </w:tc>
        <w:tc>
          <w:tcPr>
            <w:tcW w:w="6465"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（1）系统概述：</w:t>
            </w:r>
            <w:r>
              <w:rPr>
                <w:rFonts w:hint="eastAsia" w:ascii="宋体" w:hAnsi="宋体" w:eastAsia="宋体" w:cs="宋体"/>
                <w:spacing w:val="-2"/>
                <w:sz w:val="24"/>
                <w:szCs w:val="24"/>
              </w:rPr>
              <w:t>本实验箱能满足“控制理论”、“计算机控制技术”的实验教学，内置USB数据采集模块，利用上位PC机提供虚拟信号发生器、虚拟示波器功能，可在线编程完成相应的实验项目。</w:t>
            </w:r>
          </w:p>
          <w:p>
            <w:pPr>
              <w:keepNext w:val="0"/>
              <w:keepLines w:val="0"/>
              <w:pageBreakBefore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（2）系统特点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236" w:firstLineChars="1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1）通信接口采用USB2.0接口</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236" w:firstLineChars="1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2）计算机控制实验可在线编程直接控制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236" w:firstLineChars="1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3)带LabVIEW直接控制功能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236" w:firstLineChars="1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4)具有上位机虚拟示波器，信号发生、扫频等功能</w:t>
            </w:r>
          </w:p>
          <w:p>
            <w:pPr>
              <w:keepNext w:val="0"/>
              <w:keepLines w:val="0"/>
              <w:pageBreakBefore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（3）主要功能模块</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236" w:firstLineChars="1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1）直流稳压电源：±15V/0.5A、+24V/0.5A三路电压。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236" w:firstLineChars="100"/>
              <w:jc w:val="left"/>
              <w:textAlignment w:val="auto"/>
              <w:rPr>
                <w:rFonts w:hint="eastAsia" w:ascii="宋体" w:hAnsi="宋体" w:eastAsia="宋体" w:cs="宋体"/>
                <w:spacing w:val="-2"/>
                <w:sz w:val="24"/>
                <w:szCs w:val="24"/>
              </w:rPr>
            </w:pPr>
            <w:r>
              <w:rPr>
                <w:rFonts w:hint="eastAsia" w:ascii="宋体" w:hAnsi="宋体" w:eastAsia="宋体" w:cs="宋体"/>
                <w:bCs/>
                <w:spacing w:val="-2"/>
                <w:sz w:val="24"/>
                <w:szCs w:val="24"/>
              </w:rPr>
              <w:t>2）交/直流数字电压表</w:t>
            </w:r>
          </w:p>
          <w:p>
            <w:pPr>
              <w:keepNext w:val="0"/>
              <w:keepLines w:val="0"/>
              <w:pageBreakBefore w:val="0"/>
              <w:tabs>
                <w:tab w:val="left" w:pos="430"/>
              </w:tabs>
              <w:kinsoku/>
              <w:wordWrap/>
              <w:overflowPunct/>
              <w:topLinePunct w:val="0"/>
              <w:autoSpaceDE/>
              <w:autoSpaceDN/>
              <w:bidi w:val="0"/>
              <w:adjustRightInd/>
              <w:snapToGrid/>
              <w:spacing w:line="400" w:lineRule="exact"/>
              <w:ind w:left="0" w:leftChars="0" w:firstLine="236" w:firstLineChars="1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①直流数字电压表：测量范围0-20V， 200mV/2V/20V三档，琴键开关切换，三位半数显，精度0.5级；</w:t>
            </w:r>
          </w:p>
          <w:p>
            <w:pPr>
              <w:keepNext w:val="0"/>
              <w:keepLines w:val="0"/>
              <w:pageBreakBefore w:val="0"/>
              <w:tabs>
                <w:tab w:val="left" w:pos="430"/>
              </w:tabs>
              <w:kinsoku/>
              <w:wordWrap/>
              <w:overflowPunct/>
              <w:topLinePunct w:val="0"/>
              <w:autoSpaceDE/>
              <w:autoSpaceDN/>
              <w:bidi w:val="0"/>
              <w:adjustRightInd/>
              <w:snapToGrid/>
              <w:spacing w:line="400" w:lineRule="exact"/>
              <w:ind w:left="0" w:leftChars="0" w:firstLine="236" w:firstLineChars="1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②数字式真有效交流毫伏表：测量范围0～20V，分为200mV、2V、20V三档，琴键开关切换，三位半数显，频带范围10Hz～1MHz，测量精度0.5％±2个字。</w:t>
            </w:r>
          </w:p>
          <w:p>
            <w:pPr>
              <w:keepNext w:val="0"/>
              <w:keepLines w:val="0"/>
              <w:pageBreakBefore w:val="0"/>
              <w:kinsoku/>
              <w:wordWrap/>
              <w:overflowPunct/>
              <w:topLinePunct w:val="0"/>
              <w:autoSpaceDE/>
              <w:autoSpaceDN/>
              <w:bidi w:val="0"/>
              <w:adjustRightInd/>
              <w:snapToGrid/>
              <w:spacing w:line="400" w:lineRule="exact"/>
              <w:ind w:left="0" w:leftChars="0" w:firstLine="236" w:firstLineChars="100"/>
              <w:jc w:val="left"/>
              <w:textAlignment w:val="auto"/>
              <w:rPr>
                <w:rFonts w:hint="eastAsia" w:ascii="宋体" w:hAnsi="宋体" w:eastAsia="宋体" w:cs="宋体"/>
                <w:bCs/>
                <w:spacing w:val="-2"/>
                <w:sz w:val="24"/>
                <w:szCs w:val="24"/>
              </w:rPr>
            </w:pPr>
            <w:r>
              <w:rPr>
                <w:rFonts w:hint="eastAsia" w:ascii="宋体" w:hAnsi="宋体" w:eastAsia="宋体" w:cs="宋体"/>
                <w:bCs/>
                <w:spacing w:val="-2"/>
                <w:sz w:val="24"/>
                <w:szCs w:val="24"/>
              </w:rPr>
              <w:t>3)数据采集模块部分：</w:t>
            </w:r>
          </w:p>
          <w:p>
            <w:pPr>
              <w:keepNext w:val="0"/>
              <w:keepLines w:val="0"/>
              <w:pageBreakBefore w:val="0"/>
              <w:tabs>
                <w:tab w:val="left" w:pos="430"/>
              </w:tabs>
              <w:kinsoku/>
              <w:wordWrap/>
              <w:overflowPunct/>
              <w:topLinePunct w:val="0"/>
              <w:autoSpaceDE/>
              <w:autoSpaceDN/>
              <w:bidi w:val="0"/>
              <w:adjustRightInd/>
              <w:snapToGrid/>
              <w:spacing w:line="400" w:lineRule="exact"/>
              <w:ind w:left="0" w:leftChars="0" w:firstLine="236" w:firstLineChars="1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①信号发生部分：输出正弦波、方波、斜波、抛物波等四种波形，输出频率范围为0.1HZ～100Hz，幅度为0～10VP-P可调；</w:t>
            </w:r>
          </w:p>
          <w:p>
            <w:pPr>
              <w:keepNext w:val="0"/>
              <w:keepLines w:val="0"/>
              <w:pageBreakBefore w:val="0"/>
              <w:tabs>
                <w:tab w:val="left" w:pos="430"/>
              </w:tabs>
              <w:kinsoku/>
              <w:wordWrap/>
              <w:overflowPunct/>
              <w:topLinePunct w:val="0"/>
              <w:autoSpaceDE/>
              <w:autoSpaceDN/>
              <w:bidi w:val="0"/>
              <w:adjustRightInd/>
              <w:snapToGrid/>
              <w:spacing w:line="400" w:lineRule="exact"/>
              <w:ind w:left="0" w:leftChars="0" w:firstLine="236" w:firstLineChars="1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②信号采集部分：采样速率20kHz；有4路单端模拟量输入，转换精度12位。输入范围-10V～+10V。</w:t>
            </w:r>
          </w:p>
          <w:p>
            <w:pPr>
              <w:keepNext w:val="0"/>
              <w:keepLines w:val="0"/>
              <w:pageBreakBefore w:val="0"/>
              <w:kinsoku/>
              <w:wordWrap/>
              <w:overflowPunct/>
              <w:topLinePunct w:val="0"/>
              <w:autoSpaceDE/>
              <w:autoSpaceDN/>
              <w:bidi w:val="0"/>
              <w:adjustRightInd/>
              <w:snapToGrid/>
              <w:spacing w:line="400" w:lineRule="exact"/>
              <w:ind w:left="0" w:leftChars="0" w:firstLine="236" w:firstLineChars="100"/>
              <w:jc w:val="left"/>
              <w:textAlignment w:val="auto"/>
              <w:rPr>
                <w:rFonts w:hint="eastAsia" w:ascii="宋体" w:hAnsi="宋体" w:eastAsia="宋体" w:cs="宋体"/>
                <w:bCs/>
                <w:spacing w:val="-2"/>
                <w:sz w:val="24"/>
                <w:szCs w:val="24"/>
              </w:rPr>
            </w:pPr>
            <w:r>
              <w:rPr>
                <w:rFonts w:hint="eastAsia" w:ascii="宋体" w:hAnsi="宋体" w:eastAsia="宋体" w:cs="宋体"/>
                <w:bCs/>
                <w:spacing w:val="-2"/>
                <w:sz w:val="24"/>
                <w:szCs w:val="24"/>
              </w:rPr>
              <w:t>4)微控制器单元：可在线编程，具有A/D转换和D/A转换功能。</w:t>
            </w:r>
          </w:p>
          <w:p>
            <w:pPr>
              <w:keepNext w:val="0"/>
              <w:keepLines w:val="0"/>
              <w:pageBreakBefore w:val="0"/>
              <w:kinsoku/>
              <w:wordWrap/>
              <w:overflowPunct/>
              <w:topLinePunct w:val="0"/>
              <w:autoSpaceDE/>
              <w:autoSpaceDN/>
              <w:bidi w:val="0"/>
              <w:adjustRightInd/>
              <w:snapToGrid/>
              <w:spacing w:line="400" w:lineRule="exact"/>
              <w:ind w:left="0" w:leftChars="0" w:firstLine="236" w:firstLineChars="100"/>
              <w:jc w:val="left"/>
              <w:textAlignment w:val="auto"/>
              <w:rPr>
                <w:rFonts w:hint="eastAsia" w:ascii="宋体" w:hAnsi="宋体" w:eastAsia="宋体" w:cs="宋体"/>
                <w:bCs/>
                <w:spacing w:val="-2"/>
                <w:sz w:val="24"/>
                <w:szCs w:val="24"/>
              </w:rPr>
            </w:pPr>
            <w:r>
              <w:rPr>
                <w:rFonts w:hint="eastAsia" w:ascii="宋体" w:hAnsi="宋体" w:eastAsia="宋体" w:cs="宋体"/>
                <w:bCs/>
                <w:spacing w:val="-2"/>
                <w:sz w:val="24"/>
                <w:szCs w:val="24"/>
              </w:rPr>
              <w:t>5)丰富的实验模块：通用电路单元、反相器单元、非线性单元、采样保持器单元、无源电路单元、电位器单元、阶跃信号发生器单元、电阻测量单元、直流电机单元、步进电机单元、温度控制单元。</w:t>
            </w:r>
          </w:p>
          <w:p>
            <w:pPr>
              <w:keepNext w:val="0"/>
              <w:keepLines w:val="0"/>
              <w:pageBreakBefore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（4）系统组成</w:t>
            </w:r>
          </w:p>
          <w:p>
            <w:pPr>
              <w:keepNext w:val="0"/>
              <w:keepLines w:val="0"/>
              <w:pageBreakBefore w:val="0"/>
              <w:kinsoku/>
              <w:wordWrap/>
              <w:overflowPunct/>
              <w:topLinePunct w:val="0"/>
              <w:autoSpaceDE/>
              <w:autoSpaceDN/>
              <w:bidi w:val="0"/>
              <w:adjustRightInd/>
              <w:snapToGrid/>
              <w:spacing w:line="400" w:lineRule="exact"/>
              <w:ind w:left="0" w:leftChars="0"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实验箱部分包括：丰富的实验模块、微控制器单元、数据采集模块部分、交/直流数字电压表等部分。</w:t>
            </w:r>
          </w:p>
          <w:p>
            <w:pPr>
              <w:keepNext w:val="0"/>
              <w:keepLines w:val="0"/>
              <w:pageBreakBefore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上位机软件主要包括虚拟示波器，信号发生、扫频等功能、LabVIEW直接控制和MATLAB仿真功能。</w:t>
            </w:r>
          </w:p>
          <w:p>
            <w:pPr>
              <w:keepNext w:val="0"/>
              <w:keepLines w:val="0"/>
              <w:pageBreakBefore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（5）实验室软件资源包（整批设备配1套）</w:t>
            </w:r>
          </w:p>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（a）电气类实训室安全教育仿真软件</w:t>
            </w:r>
            <w:r>
              <w:rPr>
                <w:rFonts w:hint="eastAsia" w:ascii="宋体" w:hAnsi="宋体" w:eastAsia="宋体" w:cs="宋体"/>
                <w:kern w:val="0"/>
                <w:sz w:val="24"/>
                <w:szCs w:val="24"/>
                <w:lang w:val="en-US" w:eastAsia="zh-CN"/>
              </w:rPr>
              <w:t>,</w:t>
            </w:r>
            <w:r>
              <w:rPr>
                <w:rFonts w:hint="eastAsia" w:ascii="宋体" w:hAnsi="宋体" w:eastAsia="宋体" w:cs="宋体"/>
                <w:b/>
                <w:bCs/>
                <w:strike w:val="0"/>
                <w:dstrike w:val="0"/>
                <w:color w:val="auto"/>
                <w:spacing w:val="-2"/>
                <w:sz w:val="24"/>
                <w:szCs w:val="24"/>
                <w:highlight w:val="none"/>
                <w:lang w:val="en-US" w:eastAsia="zh-CN"/>
              </w:rPr>
              <w:t>须</w:t>
            </w:r>
            <w:r>
              <w:rPr>
                <w:rFonts w:hint="eastAsia" w:ascii="宋体" w:hAnsi="宋体" w:eastAsia="宋体" w:cs="宋体"/>
                <w:b/>
                <w:bCs/>
                <w:strike w:val="0"/>
                <w:dstrike w:val="0"/>
                <w:color w:val="auto"/>
                <w:spacing w:val="-2"/>
                <w:sz w:val="24"/>
                <w:szCs w:val="24"/>
                <w:highlight w:val="none"/>
              </w:rPr>
              <w:t>提供国家认可的具有检测资质的检测机构出具的有效检测报告复印件</w:t>
            </w:r>
          </w:p>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软件以Flash动画与虚拟仿真相结合，能够使学生掌握电气类实训室各种安全操作规程、用电安全、人身的触电方式及触电急救方法、过电压及防火防爆、火灾的预防、各种灭火器的使用和火灾逃生的方法等。包含以下三个模块</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①电气安全：包含安全用电的意义、预防人体触电、电气防火防爆、防雷保护、安全标志等。</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②消防减灾：包含电气火灾扑救常识、火灾逃生与救护、灭火器的使用、烫伤的简单处理、消防讲解等。</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③紧急救护： 医疗急救小常识、触电急救动画讲解等。</w:t>
            </w:r>
          </w:p>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（b）多种电机在环实时仿真软件</w:t>
            </w:r>
          </w:p>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软件要求面向机电气类、自动化控制、电工电子类等专业的电机仿真实验教学，采用C++语言、MFC框架开发，仿真性能良好。</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①电机结构及磁场实验：3D电机结构仿真：展示了完整的电机工艺结构。电机磁场和磁势分布线：利用有限元分析软件准确计算电机内部磁场和磁势分布图，可以清晰的看到磁力线是如何通过主磁极、气隙、电枢铁芯及机座构成磁回路，也可以看到除了主磁通外只交链于励磁绕组本身的漏磁通。</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②电机运行实验：实验的电机类型要求包含直流电机、异步电机、同步电机和变压器，对于电机运用等效电路的方式要求给出工作特性曲线和机械特性曲线，仿真步长不少于100微秒。对每一种电机要求给出电气和机械参数，便于学生理解和参 考。学生可以通过选择对应的电机与运行方式获得电机的转速、转矩、电流等信息，十分便捷。暂停/停止后会自动显示游标，挪动游标可以在右侧获取当前点的值，有助于后续的计算与分析。为了增强实验效果及确保软件产品的性能可靠性，要求提供正版软件，并提供持续的软件升级服务</w:t>
            </w:r>
            <w:r>
              <w:rPr>
                <w:rStyle w:val="14"/>
                <w:rFonts w:hint="eastAsia" w:ascii="宋体" w:hAnsi="宋体" w:eastAsia="宋体" w:cs="宋体"/>
                <w:b w:val="0"/>
                <w:bCs w:val="0"/>
                <w:color w:val="auto"/>
                <w:sz w:val="24"/>
                <w:szCs w:val="24"/>
                <w:shd w:val="clear" w:fill="FFFFFF"/>
              </w:rPr>
              <w:t>。</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③性能指标要求</w:t>
            </w:r>
          </w:p>
          <w:p>
            <w:pPr>
              <w:keepNext w:val="0"/>
              <w:keepLines w:val="0"/>
              <w:pageBreakBefore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spacing w:val="-2"/>
                <w:sz w:val="24"/>
                <w:szCs w:val="24"/>
              </w:rPr>
            </w:pPr>
            <w:r>
              <w:rPr>
                <w:rFonts w:hint="eastAsia" w:ascii="宋体" w:hAnsi="宋体" w:eastAsia="宋体" w:cs="宋体"/>
                <w:kern w:val="0"/>
                <w:sz w:val="24"/>
                <w:szCs w:val="24"/>
              </w:rPr>
              <w:t>直流电机不少于23组数据模型；异步电机不少于20组数据模型；支持电机参数自定义，并能用实验曲线验证电机参数的正确性；直流电机数据模型覆盖串励、并励、他励三种电机类型；异步电机数据模型覆盖星型、三角两种接法；直流电机、异步电机特性实验能动态描绘电机工作特性、固有机械特性、人为机械特性曲线；直流电机、异步电机能完成电机起动、调速、制动实验；直流电机、异步电机、同步电机运行实验中可选择负载类型不少于3种；直流电机、异步电机调速实验中，支持不少于3种调速方式；等效框图与实验曲线在同一显示界面中，并支持在等效框图中直接调整实验电路参数。</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（6）实验项目</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spacing w:val="-2"/>
                <w:sz w:val="24"/>
                <w:szCs w:val="24"/>
              </w:rPr>
            </w:pPr>
            <w:r>
              <w:rPr>
                <w:rFonts w:hint="eastAsia" w:ascii="宋体" w:hAnsi="宋体" w:eastAsia="宋体" w:cs="宋体"/>
                <w:bCs/>
                <w:spacing w:val="-2"/>
                <w:sz w:val="24"/>
                <w:szCs w:val="24"/>
              </w:rPr>
              <w:t>(一)控制理论实验</w:t>
            </w:r>
          </w:p>
          <w:p>
            <w:pPr>
              <w:keepNext w:val="0"/>
              <w:keepLines w:val="0"/>
              <w:pageBreakBefore w:val="0"/>
              <w:widowControl w:val="0"/>
              <w:kinsoku/>
              <w:wordWrap/>
              <w:overflowPunct/>
              <w:topLinePunct w:val="0"/>
              <w:autoSpaceDE/>
              <w:autoSpaceDN/>
              <w:bidi w:val="0"/>
              <w:adjustRightInd/>
              <w:snapToGrid/>
              <w:spacing w:line="400" w:lineRule="exact"/>
              <w:ind w:left="0"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典型环节的电路模拟</w:t>
            </w:r>
          </w:p>
          <w:p>
            <w:pPr>
              <w:keepNext w:val="0"/>
              <w:keepLines w:val="0"/>
              <w:pageBreakBefore w:val="0"/>
              <w:widowControl w:val="0"/>
              <w:kinsoku/>
              <w:wordWrap/>
              <w:overflowPunct/>
              <w:topLinePunct w:val="0"/>
              <w:autoSpaceDE/>
              <w:autoSpaceDN/>
              <w:bidi w:val="0"/>
              <w:adjustRightInd/>
              <w:snapToGrid/>
              <w:spacing w:line="400" w:lineRule="exact"/>
              <w:ind w:left="0"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二阶系统的瞬态响应</w:t>
            </w:r>
          </w:p>
          <w:p>
            <w:pPr>
              <w:keepNext w:val="0"/>
              <w:keepLines w:val="0"/>
              <w:pageBreakBefore w:val="0"/>
              <w:widowControl w:val="0"/>
              <w:kinsoku/>
              <w:wordWrap/>
              <w:overflowPunct/>
              <w:topLinePunct w:val="0"/>
              <w:autoSpaceDE/>
              <w:autoSpaceDN/>
              <w:bidi w:val="0"/>
              <w:adjustRightInd/>
              <w:snapToGrid/>
              <w:spacing w:line="400" w:lineRule="exact"/>
              <w:ind w:left="0"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高阶系统的瞬态响应和稳定性分析</w:t>
            </w:r>
          </w:p>
          <w:p>
            <w:pPr>
              <w:keepNext w:val="0"/>
              <w:keepLines w:val="0"/>
              <w:pageBreakBefore w:val="0"/>
              <w:widowControl w:val="0"/>
              <w:kinsoku/>
              <w:wordWrap/>
              <w:overflowPunct/>
              <w:topLinePunct w:val="0"/>
              <w:autoSpaceDE/>
              <w:autoSpaceDN/>
              <w:bidi w:val="0"/>
              <w:adjustRightInd/>
              <w:snapToGrid/>
              <w:spacing w:line="400" w:lineRule="exact"/>
              <w:ind w:left="0"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线性系统稳态误差的研究</w:t>
            </w:r>
          </w:p>
          <w:p>
            <w:pPr>
              <w:keepNext w:val="0"/>
              <w:keepLines w:val="0"/>
              <w:pageBreakBefore w:val="0"/>
              <w:widowControl w:val="0"/>
              <w:kinsoku/>
              <w:wordWrap/>
              <w:overflowPunct/>
              <w:topLinePunct w:val="0"/>
              <w:autoSpaceDE/>
              <w:autoSpaceDN/>
              <w:bidi w:val="0"/>
              <w:adjustRightInd/>
              <w:snapToGrid/>
              <w:spacing w:line="400" w:lineRule="exact"/>
              <w:ind w:left="0"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典型环节或系统频率特性的测量</w:t>
            </w:r>
          </w:p>
          <w:p>
            <w:pPr>
              <w:keepNext w:val="0"/>
              <w:keepLines w:val="0"/>
              <w:pageBreakBefore w:val="0"/>
              <w:widowControl w:val="0"/>
              <w:kinsoku/>
              <w:wordWrap/>
              <w:overflowPunct/>
              <w:topLinePunct w:val="0"/>
              <w:autoSpaceDE/>
              <w:autoSpaceDN/>
              <w:bidi w:val="0"/>
              <w:adjustRightInd/>
              <w:snapToGrid/>
              <w:spacing w:line="400" w:lineRule="exact"/>
              <w:ind w:left="0"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线性定常系统的串联校正</w:t>
            </w:r>
          </w:p>
          <w:p>
            <w:pPr>
              <w:keepNext w:val="0"/>
              <w:keepLines w:val="0"/>
              <w:pageBreakBefore w:val="0"/>
              <w:widowControl w:val="0"/>
              <w:kinsoku/>
              <w:wordWrap/>
              <w:overflowPunct/>
              <w:topLinePunct w:val="0"/>
              <w:autoSpaceDE/>
              <w:autoSpaceDN/>
              <w:bidi w:val="0"/>
              <w:adjustRightInd/>
              <w:snapToGrid/>
              <w:spacing w:line="400" w:lineRule="exact"/>
              <w:ind w:left="0"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典型非线性环节的静态特性</w:t>
            </w:r>
          </w:p>
          <w:p>
            <w:pPr>
              <w:keepNext w:val="0"/>
              <w:keepLines w:val="0"/>
              <w:pageBreakBefore w:val="0"/>
              <w:widowControl w:val="0"/>
              <w:kinsoku/>
              <w:wordWrap/>
              <w:overflowPunct/>
              <w:topLinePunct w:val="0"/>
              <w:autoSpaceDE/>
              <w:autoSpaceDN/>
              <w:bidi w:val="0"/>
              <w:adjustRightInd/>
              <w:snapToGrid/>
              <w:spacing w:line="400" w:lineRule="exact"/>
              <w:ind w:left="0"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非线性系统的描述函数法</w:t>
            </w:r>
          </w:p>
          <w:p>
            <w:pPr>
              <w:keepNext w:val="0"/>
              <w:keepLines w:val="0"/>
              <w:pageBreakBefore w:val="0"/>
              <w:widowControl w:val="0"/>
              <w:kinsoku/>
              <w:wordWrap/>
              <w:overflowPunct/>
              <w:topLinePunct w:val="0"/>
              <w:autoSpaceDE/>
              <w:autoSpaceDN/>
              <w:bidi w:val="0"/>
              <w:adjustRightInd/>
              <w:snapToGrid/>
              <w:spacing w:line="400" w:lineRule="exact"/>
              <w:ind w:left="0"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非线性系统的相平面分析法</w:t>
            </w:r>
          </w:p>
          <w:p>
            <w:pPr>
              <w:keepNext w:val="0"/>
              <w:keepLines w:val="0"/>
              <w:pageBreakBefore w:val="0"/>
              <w:widowControl w:val="0"/>
              <w:kinsoku/>
              <w:wordWrap/>
              <w:overflowPunct/>
              <w:topLinePunct w:val="0"/>
              <w:autoSpaceDE/>
              <w:autoSpaceDN/>
              <w:bidi w:val="0"/>
              <w:adjustRightInd/>
              <w:snapToGrid/>
              <w:spacing w:line="400" w:lineRule="exact"/>
              <w:ind w:left="0"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系统能控性与能观性分析</w:t>
            </w:r>
          </w:p>
          <w:p>
            <w:pPr>
              <w:keepNext w:val="0"/>
              <w:keepLines w:val="0"/>
              <w:pageBreakBefore w:val="0"/>
              <w:widowControl w:val="0"/>
              <w:kinsoku/>
              <w:wordWrap/>
              <w:overflowPunct/>
              <w:topLinePunct w:val="0"/>
              <w:autoSpaceDE/>
              <w:autoSpaceDN/>
              <w:bidi w:val="0"/>
              <w:adjustRightInd/>
              <w:snapToGrid/>
              <w:spacing w:line="400" w:lineRule="exact"/>
              <w:ind w:left="0"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控制系统极点的任意配置</w:t>
            </w:r>
          </w:p>
          <w:p>
            <w:pPr>
              <w:keepNext w:val="0"/>
              <w:keepLines w:val="0"/>
              <w:pageBreakBefore w:val="0"/>
              <w:widowControl w:val="0"/>
              <w:kinsoku/>
              <w:wordWrap/>
              <w:overflowPunct/>
              <w:topLinePunct w:val="0"/>
              <w:autoSpaceDE/>
              <w:autoSpaceDN/>
              <w:bidi w:val="0"/>
              <w:adjustRightInd/>
              <w:snapToGrid/>
              <w:spacing w:line="400" w:lineRule="exact"/>
              <w:ind w:left="0"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具有内部模型的状态反馈控制系统</w:t>
            </w:r>
          </w:p>
          <w:p>
            <w:pPr>
              <w:keepNext w:val="0"/>
              <w:keepLines w:val="0"/>
              <w:pageBreakBefore w:val="0"/>
              <w:widowControl w:val="0"/>
              <w:kinsoku/>
              <w:wordWrap/>
              <w:overflowPunct/>
              <w:topLinePunct w:val="0"/>
              <w:autoSpaceDE/>
              <w:autoSpaceDN/>
              <w:bidi w:val="0"/>
              <w:adjustRightInd/>
              <w:snapToGrid/>
              <w:spacing w:line="400" w:lineRule="exact"/>
              <w:ind w:left="0"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采样控制系统的分析</w:t>
            </w:r>
          </w:p>
          <w:p>
            <w:pPr>
              <w:keepNext w:val="0"/>
              <w:keepLines w:val="0"/>
              <w:pageBreakBefore w:val="0"/>
              <w:widowControl w:val="0"/>
              <w:kinsoku/>
              <w:wordWrap/>
              <w:overflowPunct/>
              <w:topLinePunct w:val="0"/>
              <w:autoSpaceDE/>
              <w:autoSpaceDN/>
              <w:bidi w:val="0"/>
              <w:adjustRightInd/>
              <w:snapToGrid/>
              <w:spacing w:line="400" w:lineRule="exact"/>
              <w:ind w:left="0"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采样控制系统的动态校正</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spacing w:val="-2"/>
                <w:sz w:val="24"/>
                <w:szCs w:val="24"/>
              </w:rPr>
            </w:pPr>
            <w:r>
              <w:rPr>
                <w:rFonts w:hint="eastAsia" w:ascii="宋体" w:hAnsi="宋体" w:eastAsia="宋体" w:cs="宋体"/>
                <w:bCs/>
                <w:spacing w:val="-2"/>
                <w:sz w:val="24"/>
                <w:szCs w:val="24"/>
              </w:rPr>
              <w:t>(二)计算机控制技术实验</w:t>
            </w:r>
          </w:p>
          <w:p>
            <w:pPr>
              <w:keepNext w:val="0"/>
              <w:keepLines w:val="0"/>
              <w:pageBreakBefore w:val="0"/>
              <w:widowControl w:val="0"/>
              <w:kinsoku/>
              <w:wordWrap/>
              <w:overflowPunct/>
              <w:topLinePunct w:val="0"/>
              <w:autoSpaceDE/>
              <w:autoSpaceDN/>
              <w:bidi w:val="0"/>
              <w:adjustRightInd/>
              <w:snapToGrid/>
              <w:spacing w:line="400" w:lineRule="exact"/>
              <w:ind w:left="0"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A/D与D/A转换</w:t>
            </w:r>
          </w:p>
          <w:p>
            <w:pPr>
              <w:keepNext w:val="0"/>
              <w:keepLines w:val="0"/>
              <w:pageBreakBefore w:val="0"/>
              <w:widowControl w:val="0"/>
              <w:kinsoku/>
              <w:wordWrap/>
              <w:overflowPunct/>
              <w:topLinePunct w:val="0"/>
              <w:autoSpaceDE/>
              <w:autoSpaceDN/>
              <w:bidi w:val="0"/>
              <w:adjustRightInd/>
              <w:snapToGrid/>
              <w:spacing w:line="400" w:lineRule="exact"/>
              <w:ind w:left="0"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数字滤波器</w:t>
            </w:r>
          </w:p>
          <w:p>
            <w:pPr>
              <w:keepNext w:val="0"/>
              <w:keepLines w:val="0"/>
              <w:pageBreakBefore w:val="0"/>
              <w:widowControl w:val="0"/>
              <w:kinsoku/>
              <w:wordWrap/>
              <w:overflowPunct/>
              <w:topLinePunct w:val="0"/>
              <w:autoSpaceDE/>
              <w:autoSpaceDN/>
              <w:bidi w:val="0"/>
              <w:adjustRightInd/>
              <w:snapToGrid/>
              <w:spacing w:line="400" w:lineRule="exact"/>
              <w:ind w:left="0"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离散化方法研究</w:t>
            </w:r>
          </w:p>
          <w:p>
            <w:pPr>
              <w:keepNext w:val="0"/>
              <w:keepLines w:val="0"/>
              <w:pageBreakBefore w:val="0"/>
              <w:widowControl w:val="0"/>
              <w:kinsoku/>
              <w:wordWrap/>
              <w:overflowPunct/>
              <w:topLinePunct w:val="0"/>
              <w:autoSpaceDE/>
              <w:autoSpaceDN/>
              <w:bidi w:val="0"/>
              <w:adjustRightInd/>
              <w:snapToGrid/>
              <w:spacing w:line="400" w:lineRule="exact"/>
              <w:ind w:left="0"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数字PID调节器算法的研究</w:t>
            </w:r>
          </w:p>
          <w:p>
            <w:pPr>
              <w:keepNext w:val="0"/>
              <w:keepLines w:val="0"/>
              <w:pageBreakBefore w:val="0"/>
              <w:widowControl w:val="0"/>
              <w:kinsoku/>
              <w:wordWrap/>
              <w:overflowPunct/>
              <w:topLinePunct w:val="0"/>
              <w:autoSpaceDE/>
              <w:autoSpaceDN/>
              <w:bidi w:val="0"/>
              <w:adjustRightInd/>
              <w:snapToGrid/>
              <w:spacing w:line="400" w:lineRule="exact"/>
              <w:ind w:left="0"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串级控制算法的研究</w:t>
            </w:r>
          </w:p>
          <w:p>
            <w:pPr>
              <w:keepNext w:val="0"/>
              <w:keepLines w:val="0"/>
              <w:pageBreakBefore w:val="0"/>
              <w:widowControl w:val="0"/>
              <w:kinsoku/>
              <w:wordWrap/>
              <w:overflowPunct/>
              <w:topLinePunct w:val="0"/>
              <w:autoSpaceDE/>
              <w:autoSpaceDN/>
              <w:bidi w:val="0"/>
              <w:adjustRightInd/>
              <w:snapToGrid/>
              <w:spacing w:line="400" w:lineRule="exact"/>
              <w:ind w:left="0"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解耦控制算法的研究</w:t>
            </w:r>
          </w:p>
          <w:p>
            <w:pPr>
              <w:keepNext w:val="0"/>
              <w:keepLines w:val="0"/>
              <w:pageBreakBefore w:val="0"/>
              <w:widowControl w:val="0"/>
              <w:kinsoku/>
              <w:wordWrap/>
              <w:overflowPunct/>
              <w:topLinePunct w:val="0"/>
              <w:autoSpaceDE/>
              <w:autoSpaceDN/>
              <w:bidi w:val="0"/>
              <w:adjustRightInd/>
              <w:snapToGrid/>
              <w:spacing w:line="400" w:lineRule="exact"/>
              <w:ind w:left="0"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最少拍控制算法的研究</w:t>
            </w:r>
          </w:p>
          <w:p>
            <w:pPr>
              <w:keepNext w:val="0"/>
              <w:keepLines w:val="0"/>
              <w:pageBreakBefore w:val="0"/>
              <w:widowControl w:val="0"/>
              <w:kinsoku/>
              <w:wordWrap/>
              <w:overflowPunct/>
              <w:topLinePunct w:val="0"/>
              <w:autoSpaceDE/>
              <w:autoSpaceDN/>
              <w:bidi w:val="0"/>
              <w:adjustRightInd/>
              <w:snapToGrid/>
              <w:spacing w:line="400" w:lineRule="exact"/>
              <w:ind w:left="0"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具有纯滞后系统的大林控制</w:t>
            </w:r>
          </w:p>
          <w:p>
            <w:pPr>
              <w:keepNext w:val="0"/>
              <w:keepLines w:val="0"/>
              <w:pageBreakBefore w:val="0"/>
              <w:widowControl w:val="0"/>
              <w:kinsoku/>
              <w:wordWrap/>
              <w:overflowPunct/>
              <w:topLinePunct w:val="0"/>
              <w:autoSpaceDE/>
              <w:autoSpaceDN/>
              <w:bidi w:val="0"/>
              <w:adjustRightInd/>
              <w:snapToGrid/>
              <w:spacing w:line="400" w:lineRule="exact"/>
              <w:ind w:left="0"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线性离散系统的全状态反馈控制</w:t>
            </w:r>
          </w:p>
          <w:p>
            <w:pPr>
              <w:keepNext w:val="0"/>
              <w:keepLines w:val="0"/>
              <w:pageBreakBefore w:val="0"/>
              <w:widowControl w:val="0"/>
              <w:kinsoku/>
              <w:wordWrap/>
              <w:overflowPunct/>
              <w:topLinePunct w:val="0"/>
              <w:autoSpaceDE/>
              <w:autoSpaceDN/>
              <w:bidi w:val="0"/>
              <w:adjustRightInd/>
              <w:snapToGrid/>
              <w:spacing w:line="400" w:lineRule="exact"/>
              <w:ind w:left="0"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模糊控制系统</w:t>
            </w:r>
          </w:p>
          <w:p>
            <w:pPr>
              <w:keepNext w:val="0"/>
              <w:keepLines w:val="0"/>
              <w:pageBreakBefore w:val="0"/>
              <w:widowControl w:val="0"/>
              <w:kinsoku/>
              <w:wordWrap/>
              <w:overflowPunct/>
              <w:topLinePunct w:val="0"/>
              <w:autoSpaceDE/>
              <w:autoSpaceDN/>
              <w:bidi w:val="0"/>
              <w:adjustRightInd/>
              <w:snapToGrid/>
              <w:spacing w:line="400" w:lineRule="exact"/>
              <w:ind w:left="0"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具有单神经元控制器的控制系统</w:t>
            </w:r>
          </w:p>
          <w:p>
            <w:pPr>
              <w:keepNext w:val="0"/>
              <w:keepLines w:val="0"/>
              <w:pageBreakBefore w:val="0"/>
              <w:widowControl w:val="0"/>
              <w:kinsoku/>
              <w:wordWrap/>
              <w:overflowPunct/>
              <w:topLinePunct w:val="0"/>
              <w:autoSpaceDE/>
              <w:autoSpaceDN/>
              <w:bidi w:val="0"/>
              <w:adjustRightInd/>
              <w:snapToGrid/>
              <w:spacing w:line="400" w:lineRule="exact"/>
              <w:ind w:left="0"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二次型状态调节器</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spacing w:val="-2"/>
                <w:sz w:val="24"/>
                <w:szCs w:val="24"/>
              </w:rPr>
            </w:pPr>
            <w:r>
              <w:rPr>
                <w:rFonts w:hint="eastAsia" w:ascii="宋体" w:hAnsi="宋体" w:eastAsia="宋体" w:cs="宋体"/>
                <w:bCs/>
                <w:spacing w:val="-2"/>
                <w:sz w:val="24"/>
                <w:szCs w:val="24"/>
              </w:rPr>
              <w:t>(三)计算机控制系统应用实验</w:t>
            </w:r>
          </w:p>
          <w:p>
            <w:pPr>
              <w:keepNext w:val="0"/>
              <w:keepLines w:val="0"/>
              <w:pageBreakBefore w:val="0"/>
              <w:widowControl w:val="0"/>
              <w:kinsoku/>
              <w:wordWrap/>
              <w:overflowPunct/>
              <w:topLinePunct w:val="0"/>
              <w:autoSpaceDE/>
              <w:autoSpaceDN/>
              <w:bidi w:val="0"/>
              <w:adjustRightInd/>
              <w:snapToGrid/>
              <w:spacing w:line="400" w:lineRule="exact"/>
              <w:ind w:left="0"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直流电机闭环调速实验（实物）</w:t>
            </w:r>
          </w:p>
          <w:p>
            <w:pPr>
              <w:keepNext w:val="0"/>
              <w:keepLines w:val="0"/>
              <w:pageBreakBefore w:val="0"/>
              <w:widowControl w:val="0"/>
              <w:kinsoku/>
              <w:wordWrap/>
              <w:overflowPunct/>
              <w:topLinePunct w:val="0"/>
              <w:autoSpaceDE/>
              <w:autoSpaceDN/>
              <w:bidi w:val="0"/>
              <w:adjustRightInd/>
              <w:snapToGrid/>
              <w:spacing w:line="400" w:lineRule="exact"/>
              <w:ind w:left="0"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温度过程控制实验（实物）</w:t>
            </w:r>
          </w:p>
          <w:p>
            <w:pPr>
              <w:keepNext w:val="0"/>
              <w:keepLines w:val="0"/>
              <w:pageBreakBefore w:val="0"/>
              <w:widowControl w:val="0"/>
              <w:kinsoku/>
              <w:wordWrap/>
              <w:overflowPunct/>
              <w:topLinePunct w:val="0"/>
              <w:autoSpaceDE/>
              <w:autoSpaceDN/>
              <w:bidi w:val="0"/>
              <w:adjustRightInd/>
              <w:snapToGrid/>
              <w:spacing w:line="400" w:lineRule="exact"/>
              <w:ind w:left="0"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步进电机调速实验（实物）</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spacing w:val="-2"/>
                <w:sz w:val="24"/>
                <w:szCs w:val="24"/>
              </w:rPr>
            </w:pPr>
            <w:r>
              <w:rPr>
                <w:rFonts w:hint="eastAsia" w:ascii="宋体" w:hAnsi="宋体" w:eastAsia="宋体" w:cs="宋体"/>
                <w:bCs/>
                <w:spacing w:val="-2"/>
                <w:sz w:val="24"/>
                <w:szCs w:val="24"/>
              </w:rPr>
              <w:t>(四)基于MATLAB的仿真实验（MATLAB软件自配）</w:t>
            </w:r>
          </w:p>
          <w:p>
            <w:pPr>
              <w:pStyle w:val="15"/>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firstLineChars="0"/>
              <w:jc w:val="left"/>
              <w:textAlignment w:val="auto"/>
              <w:rPr>
                <w:rFonts w:hint="eastAsia" w:ascii="宋体" w:hAnsi="宋体" w:eastAsia="宋体" w:cs="宋体"/>
                <w:spacing w:val="-2"/>
                <w:sz w:val="24"/>
                <w:szCs w:val="24"/>
              </w:rPr>
            </w:pPr>
            <w:r>
              <w:rPr>
                <w:rFonts w:hint="eastAsia" w:ascii="宋体" w:hAnsi="宋体" w:eastAsia="宋体" w:cs="宋体"/>
                <w:bCs/>
                <w:spacing w:val="-2"/>
                <w:sz w:val="24"/>
                <w:szCs w:val="24"/>
              </w:rPr>
              <w:t>控</w:t>
            </w:r>
            <w:r>
              <w:rPr>
                <w:rFonts w:hint="eastAsia" w:ascii="宋体" w:hAnsi="宋体" w:eastAsia="宋体" w:cs="宋体"/>
                <w:spacing w:val="-2"/>
                <w:sz w:val="24"/>
                <w:szCs w:val="24"/>
              </w:rPr>
              <w:t>制理论</w:t>
            </w:r>
          </w:p>
          <w:p>
            <w:pPr>
              <w:keepNext w:val="0"/>
              <w:keepLines w:val="0"/>
              <w:pageBreakBefore w:val="0"/>
              <w:widowControl w:val="0"/>
              <w:tabs>
                <w:tab w:val="left" w:pos="808"/>
              </w:tabs>
              <w:kinsoku/>
              <w:wordWrap/>
              <w:overflowPunct/>
              <w:topLinePunct w:val="0"/>
              <w:autoSpaceDE/>
              <w:autoSpaceDN/>
              <w:bidi w:val="0"/>
              <w:adjustRightInd/>
              <w:snapToGrid/>
              <w:spacing w:line="400" w:lineRule="exact"/>
              <w:ind w:left="0"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线性连续控制系统的仿真</w:t>
            </w:r>
          </w:p>
          <w:p>
            <w:pPr>
              <w:keepNext w:val="0"/>
              <w:keepLines w:val="0"/>
              <w:pageBreakBefore w:val="0"/>
              <w:widowControl w:val="0"/>
              <w:tabs>
                <w:tab w:val="left" w:pos="808"/>
              </w:tabs>
              <w:kinsoku/>
              <w:wordWrap/>
              <w:overflowPunct/>
              <w:topLinePunct w:val="0"/>
              <w:autoSpaceDE/>
              <w:autoSpaceDN/>
              <w:bidi w:val="0"/>
              <w:adjustRightInd/>
              <w:snapToGrid/>
              <w:spacing w:line="400" w:lineRule="exact"/>
              <w:ind w:left="0"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根轨迹的仿真</w:t>
            </w:r>
          </w:p>
          <w:p>
            <w:pPr>
              <w:keepNext w:val="0"/>
              <w:keepLines w:val="0"/>
              <w:pageBreakBefore w:val="0"/>
              <w:widowControl w:val="0"/>
              <w:tabs>
                <w:tab w:val="left" w:pos="808"/>
              </w:tabs>
              <w:kinsoku/>
              <w:wordWrap/>
              <w:overflowPunct/>
              <w:topLinePunct w:val="0"/>
              <w:autoSpaceDE/>
              <w:autoSpaceDN/>
              <w:bidi w:val="0"/>
              <w:adjustRightInd/>
              <w:snapToGrid/>
              <w:spacing w:line="400" w:lineRule="exact"/>
              <w:ind w:left="0"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线性系统频率响应的仿真</w:t>
            </w:r>
          </w:p>
          <w:p>
            <w:pPr>
              <w:keepNext w:val="0"/>
              <w:keepLines w:val="0"/>
              <w:pageBreakBefore w:val="0"/>
              <w:widowControl w:val="0"/>
              <w:tabs>
                <w:tab w:val="left" w:pos="808"/>
              </w:tabs>
              <w:kinsoku/>
              <w:wordWrap/>
              <w:overflowPunct/>
              <w:topLinePunct w:val="0"/>
              <w:autoSpaceDE/>
              <w:autoSpaceDN/>
              <w:bidi w:val="0"/>
              <w:adjustRightInd/>
              <w:snapToGrid/>
              <w:spacing w:line="400" w:lineRule="exact"/>
              <w:ind w:left="0"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采样控制系统的仿真</w:t>
            </w:r>
          </w:p>
          <w:p>
            <w:pPr>
              <w:keepNext w:val="0"/>
              <w:keepLines w:val="0"/>
              <w:pageBreakBefore w:val="0"/>
              <w:widowControl w:val="0"/>
              <w:tabs>
                <w:tab w:val="left" w:pos="808"/>
              </w:tabs>
              <w:kinsoku/>
              <w:wordWrap/>
              <w:overflowPunct/>
              <w:topLinePunct w:val="0"/>
              <w:autoSpaceDE/>
              <w:autoSpaceDN/>
              <w:bidi w:val="0"/>
              <w:adjustRightInd/>
              <w:snapToGrid/>
              <w:spacing w:line="400" w:lineRule="exact"/>
              <w:ind w:left="0"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串联校正的仿真</w:t>
            </w:r>
          </w:p>
          <w:p>
            <w:pPr>
              <w:keepNext w:val="0"/>
              <w:keepLines w:val="0"/>
              <w:pageBreakBefore w:val="0"/>
              <w:widowControl w:val="0"/>
              <w:tabs>
                <w:tab w:val="left" w:pos="808"/>
              </w:tabs>
              <w:kinsoku/>
              <w:wordWrap/>
              <w:overflowPunct/>
              <w:topLinePunct w:val="0"/>
              <w:autoSpaceDE/>
              <w:autoSpaceDN/>
              <w:bidi w:val="0"/>
              <w:adjustRightInd/>
              <w:snapToGrid/>
              <w:spacing w:line="400" w:lineRule="exact"/>
              <w:ind w:left="0"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非线性连续控制系统的仿真</w:t>
            </w:r>
          </w:p>
          <w:p>
            <w:pPr>
              <w:keepNext w:val="0"/>
              <w:keepLines w:val="0"/>
              <w:pageBreakBefore w:val="0"/>
              <w:widowControl w:val="0"/>
              <w:tabs>
                <w:tab w:val="left" w:pos="808"/>
              </w:tabs>
              <w:kinsoku/>
              <w:wordWrap/>
              <w:overflowPunct/>
              <w:topLinePunct w:val="0"/>
              <w:autoSpaceDE/>
              <w:autoSpaceDN/>
              <w:bidi w:val="0"/>
              <w:adjustRightInd/>
              <w:snapToGrid/>
              <w:spacing w:line="400" w:lineRule="exact"/>
              <w:ind w:left="0"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基于状态方程式的时间响应测试</w:t>
            </w:r>
          </w:p>
          <w:p>
            <w:pPr>
              <w:keepNext w:val="0"/>
              <w:keepLines w:val="0"/>
              <w:pageBreakBefore w:val="0"/>
              <w:widowControl w:val="0"/>
              <w:tabs>
                <w:tab w:val="left" w:pos="808"/>
              </w:tabs>
              <w:kinsoku/>
              <w:wordWrap/>
              <w:overflowPunct/>
              <w:topLinePunct w:val="0"/>
              <w:autoSpaceDE/>
              <w:autoSpaceDN/>
              <w:bidi w:val="0"/>
              <w:adjustRightInd/>
              <w:snapToGrid/>
              <w:spacing w:line="400" w:lineRule="exact"/>
              <w:ind w:left="0"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控制系统极点的任意配置</w:t>
            </w:r>
          </w:p>
          <w:p>
            <w:pPr>
              <w:keepNext w:val="0"/>
              <w:keepLines w:val="0"/>
              <w:pageBreakBefore w:val="0"/>
              <w:widowControl w:val="0"/>
              <w:kinsoku/>
              <w:wordWrap/>
              <w:overflowPunct/>
              <w:topLinePunct w:val="0"/>
              <w:autoSpaceDE/>
              <w:autoSpaceDN/>
              <w:bidi w:val="0"/>
              <w:adjustRightInd/>
              <w:snapToGrid/>
              <w:spacing w:line="400" w:lineRule="exact"/>
              <w:ind w:left="0"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状态观测器设计及带观测器的闭环系统响应测试</w:t>
            </w:r>
          </w:p>
          <w:p>
            <w:pPr>
              <w:keepNext w:val="0"/>
              <w:keepLines w:val="0"/>
              <w:pageBreakBefore w:val="0"/>
              <w:widowControl w:val="0"/>
              <w:tabs>
                <w:tab w:val="left" w:pos="808"/>
              </w:tabs>
              <w:kinsoku/>
              <w:wordWrap/>
              <w:overflowPunct/>
              <w:topLinePunct w:val="0"/>
              <w:autoSpaceDE/>
              <w:autoSpaceDN/>
              <w:bidi w:val="0"/>
              <w:adjustRightInd/>
              <w:snapToGrid/>
              <w:spacing w:line="400" w:lineRule="exact"/>
              <w:ind w:left="0"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多变量解耦控</w:t>
            </w:r>
          </w:p>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②信号与系统</w:t>
            </w:r>
          </w:p>
          <w:p>
            <w:pPr>
              <w:keepNext w:val="0"/>
              <w:keepLines w:val="0"/>
              <w:pageBreakBefore w:val="0"/>
              <w:widowControl w:val="0"/>
              <w:tabs>
                <w:tab w:val="left" w:pos="808"/>
              </w:tabs>
              <w:kinsoku/>
              <w:wordWrap/>
              <w:overflowPunct/>
              <w:topLinePunct w:val="0"/>
              <w:autoSpaceDE/>
              <w:autoSpaceDN/>
              <w:bidi w:val="0"/>
              <w:adjustRightInd/>
              <w:snapToGrid/>
              <w:spacing w:line="400" w:lineRule="exact"/>
              <w:ind w:left="0"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信号的时域表示</w:t>
            </w:r>
          </w:p>
          <w:p>
            <w:pPr>
              <w:keepNext w:val="0"/>
              <w:keepLines w:val="0"/>
              <w:pageBreakBefore w:val="0"/>
              <w:widowControl w:val="0"/>
              <w:tabs>
                <w:tab w:val="left" w:pos="808"/>
              </w:tabs>
              <w:kinsoku/>
              <w:wordWrap/>
              <w:overflowPunct/>
              <w:topLinePunct w:val="0"/>
              <w:autoSpaceDE/>
              <w:autoSpaceDN/>
              <w:bidi w:val="0"/>
              <w:adjustRightInd/>
              <w:snapToGrid/>
              <w:spacing w:line="400" w:lineRule="exact"/>
              <w:ind w:left="0"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信号的基本运算</w:t>
            </w:r>
          </w:p>
          <w:p>
            <w:pPr>
              <w:keepNext w:val="0"/>
              <w:keepLines w:val="0"/>
              <w:pageBreakBefore w:val="0"/>
              <w:widowControl w:val="0"/>
              <w:tabs>
                <w:tab w:val="left" w:pos="808"/>
              </w:tabs>
              <w:kinsoku/>
              <w:wordWrap/>
              <w:overflowPunct/>
              <w:topLinePunct w:val="0"/>
              <w:autoSpaceDE/>
              <w:autoSpaceDN/>
              <w:bidi w:val="0"/>
              <w:adjustRightInd/>
              <w:snapToGrid/>
              <w:spacing w:line="400" w:lineRule="exact"/>
              <w:ind w:left="0"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连续时间系统的冲激响应和单位阶跃响应</w:t>
            </w:r>
          </w:p>
          <w:p>
            <w:pPr>
              <w:keepNext w:val="0"/>
              <w:keepLines w:val="0"/>
              <w:pageBreakBefore w:val="0"/>
              <w:widowControl w:val="0"/>
              <w:tabs>
                <w:tab w:val="left" w:pos="808"/>
              </w:tabs>
              <w:kinsoku/>
              <w:wordWrap/>
              <w:overflowPunct/>
              <w:topLinePunct w:val="0"/>
              <w:autoSpaceDE/>
              <w:autoSpaceDN/>
              <w:bidi w:val="0"/>
              <w:adjustRightInd/>
              <w:snapToGrid/>
              <w:spacing w:line="400" w:lineRule="exact"/>
              <w:ind w:left="0"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二阶系统的模拟</w:t>
            </w:r>
          </w:p>
          <w:p>
            <w:pPr>
              <w:keepNext w:val="0"/>
              <w:keepLines w:val="0"/>
              <w:pageBreakBefore w:val="0"/>
              <w:widowControl w:val="0"/>
              <w:tabs>
                <w:tab w:val="left" w:pos="808"/>
              </w:tabs>
              <w:kinsoku/>
              <w:wordWrap/>
              <w:overflowPunct/>
              <w:topLinePunct w:val="0"/>
              <w:autoSpaceDE/>
              <w:autoSpaceDN/>
              <w:bidi w:val="0"/>
              <w:adjustRightInd/>
              <w:snapToGrid/>
              <w:spacing w:line="400" w:lineRule="exact"/>
              <w:ind w:left="0"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系统的零输入、零状态及完全响应</w:t>
            </w:r>
          </w:p>
          <w:p>
            <w:pPr>
              <w:keepNext w:val="0"/>
              <w:keepLines w:val="0"/>
              <w:pageBreakBefore w:val="0"/>
              <w:widowControl w:val="0"/>
              <w:tabs>
                <w:tab w:val="left" w:pos="808"/>
              </w:tabs>
              <w:kinsoku/>
              <w:wordWrap/>
              <w:overflowPunct/>
              <w:topLinePunct w:val="0"/>
              <w:autoSpaceDE/>
              <w:autoSpaceDN/>
              <w:bidi w:val="0"/>
              <w:adjustRightInd/>
              <w:snapToGrid/>
              <w:spacing w:line="400" w:lineRule="exact"/>
              <w:ind w:left="0"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线性系统稳定性分析</w:t>
            </w:r>
          </w:p>
          <w:p>
            <w:pPr>
              <w:keepNext w:val="0"/>
              <w:keepLines w:val="0"/>
              <w:pageBreakBefore w:val="0"/>
              <w:widowControl w:val="0"/>
              <w:tabs>
                <w:tab w:val="left" w:pos="808"/>
              </w:tabs>
              <w:kinsoku/>
              <w:wordWrap/>
              <w:overflowPunct/>
              <w:topLinePunct w:val="0"/>
              <w:autoSpaceDE/>
              <w:autoSpaceDN/>
              <w:bidi w:val="0"/>
              <w:adjustRightInd/>
              <w:snapToGrid/>
              <w:spacing w:line="400" w:lineRule="exact"/>
              <w:ind w:left="0"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信号的无失真传输</w:t>
            </w:r>
          </w:p>
          <w:p>
            <w:pPr>
              <w:keepNext w:val="0"/>
              <w:keepLines w:val="0"/>
              <w:pageBreakBefore w:val="0"/>
              <w:widowControl w:val="0"/>
              <w:tabs>
                <w:tab w:val="left" w:pos="808"/>
              </w:tabs>
              <w:kinsoku/>
              <w:wordWrap/>
              <w:overflowPunct/>
              <w:topLinePunct w:val="0"/>
              <w:autoSpaceDE/>
              <w:autoSpaceDN/>
              <w:bidi w:val="0"/>
              <w:adjustRightInd/>
              <w:snapToGrid/>
              <w:spacing w:line="400" w:lineRule="exact"/>
              <w:ind w:left="0"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信号的采样与恢复</w:t>
            </w:r>
          </w:p>
          <w:p>
            <w:pPr>
              <w:keepNext w:val="0"/>
              <w:keepLines w:val="0"/>
              <w:pageBreakBefore w:val="0"/>
              <w:widowControl w:val="0"/>
              <w:tabs>
                <w:tab w:val="left" w:pos="808"/>
              </w:tabs>
              <w:kinsoku/>
              <w:wordWrap/>
              <w:overflowPunct/>
              <w:topLinePunct w:val="0"/>
              <w:autoSpaceDE/>
              <w:autoSpaceDN/>
              <w:bidi w:val="0"/>
              <w:adjustRightInd/>
              <w:snapToGrid/>
              <w:spacing w:line="400" w:lineRule="exact"/>
              <w:ind w:left="0"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幅度调制与解调</w:t>
            </w:r>
          </w:p>
          <w:p>
            <w:pPr>
              <w:keepNext w:val="0"/>
              <w:keepLines w:val="0"/>
              <w:pageBreakBefore w:val="0"/>
              <w:widowControl w:val="0"/>
              <w:tabs>
                <w:tab w:val="left" w:pos="808"/>
              </w:tabs>
              <w:kinsoku/>
              <w:wordWrap/>
              <w:overflowPunct/>
              <w:topLinePunct w:val="0"/>
              <w:autoSpaceDE/>
              <w:autoSpaceDN/>
              <w:bidi w:val="0"/>
              <w:adjustRightInd/>
              <w:snapToGrid/>
              <w:spacing w:line="400" w:lineRule="exact"/>
              <w:ind w:left="0"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滤波器频率特性的研究</w:t>
            </w:r>
          </w:p>
          <w:p>
            <w:pPr>
              <w:keepNext w:val="0"/>
              <w:keepLines w:val="0"/>
              <w:pageBreakBefore w:val="0"/>
              <w:widowControl w:val="0"/>
              <w:tabs>
                <w:tab w:val="left" w:pos="808"/>
              </w:tabs>
              <w:kinsoku/>
              <w:wordWrap/>
              <w:overflowPunct/>
              <w:topLinePunct w:val="0"/>
              <w:autoSpaceDE/>
              <w:autoSpaceDN/>
              <w:bidi w:val="0"/>
              <w:adjustRightInd/>
              <w:snapToGrid/>
              <w:spacing w:line="400" w:lineRule="exact"/>
              <w:ind w:left="0"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信号的分解与合成</w:t>
            </w:r>
          </w:p>
          <w:p>
            <w:pPr>
              <w:keepNext w:val="0"/>
              <w:keepLines w:val="0"/>
              <w:pageBreakBefore w:val="0"/>
              <w:widowControl w:val="0"/>
              <w:tabs>
                <w:tab w:val="left" w:pos="808"/>
              </w:tabs>
              <w:kinsoku/>
              <w:wordWrap/>
              <w:overflowPunct/>
              <w:topLinePunct w:val="0"/>
              <w:autoSpaceDE/>
              <w:autoSpaceDN/>
              <w:bidi w:val="0"/>
              <w:adjustRightInd/>
              <w:snapToGrid/>
              <w:spacing w:line="400" w:lineRule="exact"/>
              <w:ind w:left="0"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周期信号的频谱表示</w:t>
            </w:r>
          </w:p>
          <w:p>
            <w:pPr>
              <w:keepNext w:val="0"/>
              <w:keepLines w:val="0"/>
              <w:pageBreakBefore w:val="0"/>
              <w:widowControl w:val="0"/>
              <w:tabs>
                <w:tab w:val="left" w:pos="808"/>
              </w:tabs>
              <w:kinsoku/>
              <w:wordWrap/>
              <w:overflowPunct/>
              <w:topLinePunct w:val="0"/>
              <w:autoSpaceDE/>
              <w:autoSpaceDN/>
              <w:bidi w:val="0"/>
              <w:adjustRightInd/>
              <w:snapToGrid/>
              <w:spacing w:line="400" w:lineRule="exact"/>
              <w:ind w:left="0" w:firstLine="472" w:firstLineChars="200"/>
              <w:jc w:val="left"/>
              <w:textAlignment w:val="auto"/>
              <w:rPr>
                <w:rFonts w:hint="eastAsia" w:ascii="宋体" w:hAnsi="宋体" w:eastAsia="宋体" w:cs="宋体"/>
                <w:b w:val="0"/>
                <w:bCs/>
                <w:color w:val="auto"/>
                <w:kern w:val="0"/>
                <w:sz w:val="24"/>
                <w:szCs w:val="24"/>
              </w:rPr>
            </w:pPr>
            <w:r>
              <w:rPr>
                <w:rFonts w:hint="eastAsia" w:ascii="宋体" w:hAnsi="宋体" w:eastAsia="宋体" w:cs="宋体"/>
                <w:spacing w:val="-2"/>
                <w:sz w:val="24"/>
                <w:szCs w:val="24"/>
              </w:rPr>
              <w:t>LTI系统的频率响应</w:t>
            </w:r>
          </w:p>
        </w:tc>
        <w:tc>
          <w:tcPr>
            <w:tcW w:w="76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4"/>
                <w:szCs w:val="24"/>
              </w:rPr>
            </w:pPr>
            <w:r>
              <w:rPr>
                <w:rFonts w:hint="eastAsia" w:ascii="宋体" w:hAnsi="宋体" w:eastAsia="宋体" w:cs="宋体"/>
                <w:b w:val="0"/>
                <w:bCs/>
                <w:color w:val="auto"/>
                <w:kern w:val="0"/>
                <w:sz w:val="24"/>
                <w:szCs w:val="24"/>
              </w:rPr>
              <w:t>30</w:t>
            </w:r>
          </w:p>
        </w:tc>
        <w:tc>
          <w:tcPr>
            <w:tcW w:w="76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10" w:type="dxa"/>
            <w:vAlign w:val="center"/>
          </w:tcPr>
          <w:p>
            <w:pPr>
              <w:pStyle w:val="15"/>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16</w:t>
            </w:r>
          </w:p>
        </w:tc>
        <w:tc>
          <w:tcPr>
            <w:tcW w:w="91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电气控制与继电保护综合试验台</w:t>
            </w:r>
          </w:p>
        </w:tc>
        <w:tc>
          <w:tcPr>
            <w:tcW w:w="646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电气控制与继电保护综合试验台是针对《电力系统继电保护》等有关继电保护教学内容而设计的，包含电磁式继电器、微机保护继电器、数字式移相器、调压器、线路模型等设备，能够完成三段式电流保护、距离保护、变压器差动保护等实验内容，并具有自主介入编程软件功能，为学生保护课程设计、毕业设计、生产实习提供试验平台。为便于教学及安全保证，试验台要求与实验室已有设备面板及功能一致。</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（2）电气控制与继电保护综合试验台需具备的功能</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1）该试验平台继电器类型</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①电磁型继电器：可完成电流电压保护、时间继电器特性实验、三段式电流保护实验、重合闸实验</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宋体" w:hAnsi="宋体" w:eastAsia="宋体" w:cs="宋体"/>
                <w:b/>
                <w:bCs/>
                <w:color w:val="FF0000"/>
                <w:sz w:val="24"/>
                <w:szCs w:val="24"/>
                <w:highlight w:val="yellow"/>
                <w:lang w:val="en-US" w:eastAsia="zh-CN"/>
              </w:rPr>
            </w:pPr>
            <w:r>
              <w:rPr>
                <w:rFonts w:hint="eastAsia" w:ascii="宋体" w:hAnsi="宋体" w:eastAsia="宋体" w:cs="宋体"/>
                <w:sz w:val="24"/>
                <w:szCs w:val="24"/>
              </w:rPr>
              <w:t>②</w:t>
            </w:r>
            <w:r>
              <w:rPr>
                <w:rFonts w:hint="eastAsia" w:ascii="宋体" w:hAnsi="宋体" w:eastAsia="宋体" w:cs="宋体"/>
                <w:color w:val="000000"/>
                <w:sz w:val="24"/>
                <w:szCs w:val="24"/>
              </w:rPr>
              <w:t>微机型继电器：独立的微机型继电器，可完成电流电压保护、功率方向实验、纵联差动保护实验、变压器差动实验、距离保护实验。</w:t>
            </w:r>
            <w:r>
              <w:rPr>
                <w:rFonts w:hint="eastAsia" w:ascii="宋体" w:hAnsi="宋体" w:eastAsia="宋体" w:cs="宋体"/>
                <w:b/>
                <w:bCs/>
                <w:color w:val="000000"/>
                <w:sz w:val="24"/>
                <w:szCs w:val="24"/>
              </w:rPr>
              <w:t>须提供设备实物</w:t>
            </w:r>
            <w:r>
              <w:rPr>
                <w:rFonts w:hint="eastAsia" w:ascii="宋体" w:hAnsi="宋体" w:eastAsia="宋体" w:cs="宋体"/>
                <w:b/>
                <w:bCs/>
                <w:color w:val="auto"/>
                <w:sz w:val="24"/>
                <w:szCs w:val="24"/>
                <w:highlight w:val="none"/>
              </w:rPr>
              <w:t>图</w:t>
            </w:r>
            <w:r>
              <w:rPr>
                <w:rFonts w:hint="eastAsia" w:ascii="宋体" w:hAnsi="宋体" w:eastAsia="宋体" w:cs="宋体"/>
                <w:b/>
                <w:bCs/>
                <w:color w:val="auto"/>
                <w:sz w:val="24"/>
                <w:szCs w:val="24"/>
                <w:highlight w:val="none"/>
                <w:lang w:val="en-US" w:eastAsia="zh-CN"/>
              </w:rPr>
              <w:t>片</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2）微机保护装置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①具有自主介入编程功能，软件开源、为学生课程设计、毕业设计、生产实习提供试验平台；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②具有自诊断功能、事故记录、事件顺序记录功能。</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3）具有漏电保护功能，确保实验进程安全。</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（3）试验台具体参数</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1）输入电源</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①电源电压：400±10%V（50Hz），额定容量：不小于9kVA；</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②工作温度：-10°C～+60°C；</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③相对湿度＜85%（25°C）。</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2）电流继电器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①线圈额定电压：100V，线圈额定电流：不低于5A;</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②电流整定范围：0~6A（配置不少于3个）；0~3A（配置不少于3个）。</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3）电压继电器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①线圈额定电压：200V，线圈额定电流：不低于5A；</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②电压整定范围:50~200V；</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4）中间继电器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①额定电压:220V，额定线圈电流：不低于0.5A；</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②动作时间：不大于0.05s（标称条件）；返回时间：不大于0.05s（标称条件）。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③配置数量不低于2个。</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5）时间继电器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①额定电压:200V，时间整定范围: 0-5s。</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②配置数量不低于2个。</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6）负序电压继电器（1个）</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①额定线圈电压:100V；</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②电压整定范围: 6-12V。</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7）信号继电器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①额定线圈电压：220V ，额定线圈电流：不低于0.01A；</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②配置数量不低于2个；</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③启动方式：电流启动、电压启动</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8）闪光继电器（1个）</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①额定线圈电压：220V；</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9）重合闸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①额定电压：220V；</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②时间元件的整定范围：1.2～5s；</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10）微机保护装置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①工作电压：220V交流（单相）；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②工作温度：-10°C～+60°C；</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③测量精度优于1%；</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④微机保护装置为触摸屏显示，触摸次数：&gt;2000万次，屏幕规格：不小于7寸；</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11）三相数字式移相器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①输入电压：三相0~100V /50Hz，输出电压：三相0~50V/50Hz；最大输出电流：不小于1A，</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②移相范围：0~360°，调节步长为1°；</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③工作温度：-10°C～+60°C；</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12）数字电秒表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①额定电压：220V AC，</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②时间测量范围：1~9999ms，测量误差：不大于1ms；</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13）电压互感器</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①额定容量：不低于10VA，变比：100V\100V，工作频率：50Hz。</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14）电流互感器</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①额定容量：不低于5VA，变比：5A\5A，工作频率：50Hz；</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②配置不少于6个。</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15）数字交流电压表 </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①工作电压：220V AC；</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②电压测量范围：0~150V；</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③精度：0.5级</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16）数字交流电流表</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①工作电压：220V AC；</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②电流测量范围：0~15A；</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③精度：0.5级；</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④配置数量不低于2个。</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17）单相调压器</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①额定功率：不小于2kVA，额定输入电压220V，输出电压范围：0-250V，额定输出电流：不小于8A；</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18）三相自耦调压器</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①额定功率：不小于9kVA，额定输入线电压：400V，输出线电压范围：0-450V，额定输出电流：不小于12A。</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19）三相滑线式变阻器</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①额定电流：10A；</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②电阻调节范围：0~30Ω。</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20）微机差动继电器、微机阻抗（方向）继电器</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①独立的微机型继电器，采用触摸屏设计；</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②能完成该继电器的特性试验；</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③可提供源程序代码，用户可在此基础上进行自主编程，代替源程序相应模块；</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④提供自主介入编程演示视频及使用方法；</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（4）电气控制与继电保护综合试验台可完成的实验项目:</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1）继电器特性实验</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①电磁型电流继电器实验；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②电磁型电压继电器实验；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③信号继电器实验；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④中间继电器实验；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⑤负序电压继电器实验；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⑥时间继电器特性实验；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⑦微机阻抗（方向）继电器特性实验；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⑧微机阻抗继电器多边形特性实验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⑨功率方向继电器的动作特性实验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⑩微机差动继电器特性实验；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测出继电器的动作区域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改变制动电流，观察继电器的动作区域变化情况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改变比率系数，观察继电器的动作区域变化情况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改变差电流，观察继电器的动作情况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改变电流极性，观察继电器的动作情况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⑪重合闸继电器实验。</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2）继电保护实验及综合实验；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①6~10KV线路过电流保护实验；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②低电压起动过电流保护及过负荷保护实验；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③复合电压起动过电流保护实验；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④电压闭锁电流速断保护实验；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⑤单侧电源辐射式输电线路三段式电流保护实验。</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3）电气二次控制回路实验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①重复动作手动复归中央音响信号装置实验；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②重复动作自动复归中央音响信号装置实验；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③具有灯光监视的断路器控制回路实验；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④具有灯光和音响监视的断路器控制回路实验；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⑤闪光继电器构成的闪光装置实验；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⑥装设跳跃闭锁继电器的断路器控制回路实验。</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4）自动装置实验</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①自动重合闸前加速保护实验；</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②自动重合闸后加速保护实验。</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5）微机线路保护实验、综合实验</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具有常规线路保护和微机保护两种功能；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模拟系统最大、最小、正常运行方式实验；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模拟系统短路运行方式实验；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模拟系统短路保护动作情况实验；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保护装置的动作电流动作电压检验及整定继电器动作电流电压实验；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保护装置的动作时间检验及整定继电器动作时间实验；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电磁式电流保护配合动作实验；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低电压闭锁电流保护装置的动作实验；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电流速断保护灵敏度检查实验；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三段式电流保护实验；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低电压闭锁速断保护灵敏度检查实验；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微机线路保护的多项实验；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最大、正常、最小运行方式对保护灵敏度影响实验；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常规电磁式保护与微机保护动作比较实验；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过流保护与三相自动重合闸装置综合实验；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低电压启动过电流保护与自动重合闸装置（后加速）综合实验；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复合电压启动过电流保护与自动重合闸装置（后加速）综合实验；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电压闭锁电流速断保护与自动重合闸装置（后加速）综合实验；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三段式电流保护与自动重合闸装置（后加速）综合实验；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过电流保护与自动重合闸装置（前加速）综合实验；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低电压启动过电流保护与自动重合闸装置（前加速）综合实验；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复合电压启动过电流保护与自动重合闸装置（前加速）综合实验；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三段式电流保护与自动重合闸装置（前加速）综合实验与考核</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6）微机／常规变压器保护实验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①学习变压器保护中CT的接线方式；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②模拟变压器正常运行方式实验；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③模拟变压器短路实验；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④微机保护的动作参数整定实验；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⑤变压器差动保护中电流互感器接线正确性实验；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⑥模拟变压器内部故障差动保护动作实验；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⑦模拟变压器外部故障实验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⑧改变制动特性拐点，对差动保护动作影响实验。</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7）微机阻抗保护实验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①整定阻抗保护动作值实验；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②运行方式变化对阻抗保护影响的实验；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③三段式保护动作配合实验；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④重合闸实验。</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8）当配上位机时，还可以实现：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①远方送整定值，远方操作开关跳、合闸实验；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②上位机动态显示主结线、潮流，并打印有关定值潮流等信息。</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b w:val="0"/>
                <w:bCs/>
                <w:color w:val="auto"/>
                <w:sz w:val="24"/>
                <w:szCs w:val="24"/>
              </w:rPr>
            </w:pPr>
            <w:r>
              <w:rPr>
                <w:rFonts w:hint="eastAsia" w:ascii="宋体" w:hAnsi="宋体" w:eastAsia="宋体" w:cs="宋体"/>
                <w:color w:val="000000"/>
                <w:sz w:val="24"/>
                <w:szCs w:val="24"/>
              </w:rPr>
              <w:t>9）当配上位机和自主编程软件时学生可以参与自主编程，而不影响装置性能。</w:t>
            </w:r>
          </w:p>
        </w:tc>
        <w:tc>
          <w:tcPr>
            <w:tcW w:w="76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w:t>
            </w:r>
          </w:p>
        </w:tc>
        <w:tc>
          <w:tcPr>
            <w:tcW w:w="76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10" w:type="dxa"/>
            <w:vAlign w:val="center"/>
          </w:tcPr>
          <w:p>
            <w:pPr>
              <w:pStyle w:val="15"/>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17</w:t>
            </w:r>
          </w:p>
        </w:tc>
        <w:tc>
          <w:tcPr>
            <w:tcW w:w="91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4"/>
                <w:szCs w:val="24"/>
              </w:rPr>
            </w:pPr>
            <w:r>
              <w:rPr>
                <w:rStyle w:val="16"/>
                <w:rFonts w:hint="eastAsia" w:ascii="宋体" w:hAnsi="宋体" w:eastAsia="宋体" w:cs="宋体"/>
                <w:b w:val="0"/>
                <w:bCs/>
                <w:color w:val="auto"/>
                <w:sz w:val="24"/>
                <w:szCs w:val="24"/>
              </w:rPr>
              <w:t>LCR</w:t>
            </w:r>
            <w:r>
              <w:rPr>
                <w:rStyle w:val="17"/>
                <w:rFonts w:hint="eastAsia" w:ascii="宋体" w:hAnsi="宋体" w:eastAsia="宋体" w:cs="宋体"/>
                <w:b w:val="0"/>
                <w:bCs/>
                <w:color w:val="auto"/>
                <w:sz w:val="24"/>
                <w:szCs w:val="24"/>
              </w:rPr>
              <w:t>数字电桥</w:t>
            </w:r>
          </w:p>
        </w:tc>
        <w:tc>
          <w:tcPr>
            <w:tcW w:w="646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w:t>
            </w:r>
            <w:r>
              <w:rPr>
                <w:rFonts w:hint="eastAsia" w:ascii="宋体" w:hAnsi="宋体" w:eastAsia="宋体" w:cs="宋体"/>
                <w:sz w:val="24"/>
                <w:szCs w:val="24"/>
              </w:rPr>
              <w:t>技术参数</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color w:val="232323"/>
                <w:spacing w:val="5"/>
                <w:kern w:val="0"/>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rPr>
              <w:t>1）</w:t>
            </w:r>
            <w:r>
              <w:rPr>
                <w:rFonts w:hint="eastAsia" w:ascii="宋体" w:hAnsi="宋体" w:eastAsia="宋体" w:cs="宋体"/>
                <w:color w:val="231F20"/>
                <w:spacing w:val="5"/>
                <w:kern w:val="0"/>
                <w:sz w:val="24"/>
                <w:szCs w:val="24"/>
              </w:rPr>
              <w:t>显示</w:t>
            </w:r>
            <w:r>
              <w:rPr>
                <w:rFonts w:hint="eastAsia" w:ascii="宋体" w:hAnsi="宋体" w:eastAsia="宋体" w:cs="宋体"/>
                <w:color w:val="232323"/>
                <w:spacing w:val="5"/>
                <w:kern w:val="0"/>
                <w:sz w:val="24"/>
                <w:szCs w:val="24"/>
              </w:rPr>
              <w:tab/>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sz w:val="24"/>
                <w:szCs w:val="24"/>
              </w:rPr>
            </w:pPr>
            <w:r>
              <w:rPr>
                <w:rFonts w:hint="eastAsia" w:ascii="宋体" w:hAnsi="宋体" w:eastAsia="宋体" w:cs="宋体"/>
                <w:color w:val="231F20"/>
                <w:spacing w:val="5"/>
                <w:kern w:val="0"/>
                <w:sz w:val="24"/>
                <w:szCs w:val="24"/>
              </w:rPr>
              <w:t>1）显示器</w:t>
            </w:r>
            <w:r>
              <w:rPr>
                <w:rFonts w:hint="eastAsia" w:ascii="宋体" w:hAnsi="宋体" w:eastAsia="宋体" w:cs="宋体"/>
                <w:color w:val="232323"/>
                <w:spacing w:val="5"/>
                <w:kern w:val="0"/>
                <w:sz w:val="24"/>
                <w:szCs w:val="24"/>
              </w:rPr>
              <w:t>：</w:t>
            </w:r>
            <w:r>
              <w:rPr>
                <w:rFonts w:hint="eastAsia" w:ascii="宋体" w:hAnsi="宋体" w:eastAsia="宋体" w:cs="宋体"/>
                <w:color w:val="231F20"/>
                <w:spacing w:val="5"/>
                <w:kern w:val="0"/>
                <w:sz w:val="24"/>
                <w:szCs w:val="24"/>
              </w:rPr>
              <w:t>10.1英寸电容触摸屏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sz w:val="24"/>
                <w:szCs w:val="24"/>
              </w:rPr>
            </w:pPr>
            <w:r>
              <w:rPr>
                <w:rFonts w:hint="eastAsia" w:ascii="宋体" w:hAnsi="宋体" w:eastAsia="宋体" w:cs="宋体"/>
                <w:color w:val="232323"/>
                <w:spacing w:val="5"/>
                <w:kern w:val="0"/>
                <w:sz w:val="24"/>
                <w:szCs w:val="24"/>
              </w:rPr>
              <w:t>2）</w:t>
            </w:r>
            <w:r>
              <w:rPr>
                <w:rFonts w:hint="eastAsia" w:ascii="宋体" w:hAnsi="宋体" w:eastAsia="宋体" w:cs="宋体"/>
                <w:color w:val="231F20"/>
                <w:spacing w:val="5"/>
                <w:kern w:val="0"/>
                <w:sz w:val="24"/>
                <w:szCs w:val="24"/>
              </w:rPr>
              <w:t>比例</w:t>
            </w:r>
            <w:r>
              <w:rPr>
                <w:rFonts w:hint="eastAsia" w:ascii="宋体" w:hAnsi="宋体" w:eastAsia="宋体" w:cs="宋体"/>
                <w:color w:val="232323"/>
                <w:spacing w:val="5"/>
                <w:kern w:val="0"/>
                <w:sz w:val="24"/>
                <w:szCs w:val="24"/>
              </w:rPr>
              <w:t>：</w:t>
            </w:r>
            <w:r>
              <w:rPr>
                <w:rFonts w:hint="eastAsia" w:ascii="宋体" w:hAnsi="宋体" w:eastAsia="宋体" w:cs="宋体"/>
                <w:color w:val="231F20"/>
                <w:spacing w:val="5"/>
                <w:kern w:val="0"/>
                <w:sz w:val="24"/>
                <w:szCs w:val="24"/>
              </w:rPr>
              <w:t>16:9</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sz w:val="24"/>
                <w:szCs w:val="24"/>
              </w:rPr>
            </w:pPr>
            <w:r>
              <w:rPr>
                <w:rFonts w:hint="eastAsia" w:ascii="宋体" w:hAnsi="宋体" w:eastAsia="宋体" w:cs="宋体"/>
                <w:color w:val="232323"/>
                <w:spacing w:val="5"/>
                <w:kern w:val="0"/>
                <w:sz w:val="24"/>
                <w:szCs w:val="24"/>
              </w:rPr>
              <w:t>3）</w:t>
            </w:r>
            <w:r>
              <w:rPr>
                <w:rFonts w:hint="eastAsia" w:ascii="宋体" w:hAnsi="宋体" w:eastAsia="宋体" w:cs="宋体"/>
                <w:color w:val="231F20"/>
                <w:spacing w:val="5"/>
                <w:kern w:val="0"/>
                <w:sz w:val="24"/>
                <w:szCs w:val="24"/>
              </w:rPr>
              <w:t>分辨率</w:t>
            </w:r>
            <w:r>
              <w:rPr>
                <w:rFonts w:hint="eastAsia" w:ascii="宋体" w:hAnsi="宋体" w:eastAsia="宋体" w:cs="宋体"/>
                <w:color w:val="232323"/>
                <w:spacing w:val="5"/>
                <w:kern w:val="0"/>
                <w:sz w:val="24"/>
                <w:szCs w:val="24"/>
              </w:rPr>
              <w:t>：</w:t>
            </w:r>
            <w:r>
              <w:rPr>
                <w:rFonts w:hint="eastAsia" w:ascii="宋体" w:hAnsi="宋体" w:eastAsia="宋体" w:cs="宋体"/>
                <w:color w:val="231F20"/>
                <w:spacing w:val="5"/>
                <w:kern w:val="0"/>
                <w:sz w:val="24"/>
                <w:szCs w:val="24"/>
              </w:rPr>
              <w:t>1280×RGB×800</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（2）测量参数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sz w:val="24"/>
                <w:szCs w:val="24"/>
              </w:rPr>
            </w:pPr>
            <w:r>
              <w:rPr>
                <w:rFonts w:hint="eastAsia" w:ascii="宋体" w:hAnsi="宋体" w:eastAsia="宋体" w:cs="宋体"/>
                <w:color w:val="231F20"/>
                <w:spacing w:val="5"/>
                <w:kern w:val="0"/>
                <w:sz w:val="24"/>
                <w:szCs w:val="24"/>
              </w:rPr>
              <w:t>1）方式</w:t>
            </w:r>
            <w:r>
              <w:rPr>
                <w:rFonts w:hint="eastAsia" w:ascii="宋体" w:hAnsi="宋体" w:eastAsia="宋体" w:cs="宋体"/>
                <w:color w:val="232323"/>
                <w:spacing w:val="5"/>
                <w:kern w:val="0"/>
                <w:sz w:val="24"/>
                <w:szCs w:val="24"/>
              </w:rPr>
              <w:t>：</w:t>
            </w:r>
            <w:r>
              <w:rPr>
                <w:rFonts w:hint="eastAsia" w:ascii="宋体" w:hAnsi="宋体" w:eastAsia="宋体" w:cs="宋体"/>
                <w:color w:val="231F20"/>
                <w:spacing w:val="5"/>
                <w:kern w:val="0"/>
                <w:sz w:val="24"/>
                <w:szCs w:val="24"/>
              </w:rPr>
              <w:t>四参数任意选择</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2323"/>
                <w:spacing w:val="5"/>
                <w:kern w:val="0"/>
                <w:sz w:val="24"/>
                <w:szCs w:val="24"/>
              </w:rPr>
              <w:t>2）</w:t>
            </w:r>
            <w:r>
              <w:rPr>
                <w:rFonts w:hint="eastAsia" w:ascii="宋体" w:hAnsi="宋体" w:eastAsia="宋体" w:cs="宋体"/>
                <w:color w:val="231F20"/>
                <w:spacing w:val="5"/>
                <w:kern w:val="0"/>
                <w:sz w:val="24"/>
                <w:szCs w:val="24"/>
              </w:rPr>
              <w:t>AC</w:t>
            </w:r>
            <w:r>
              <w:rPr>
                <w:rFonts w:hint="eastAsia" w:ascii="宋体" w:hAnsi="宋体" w:eastAsia="宋体" w:cs="宋体"/>
                <w:color w:val="232323"/>
                <w:spacing w:val="5"/>
                <w:kern w:val="0"/>
                <w:sz w:val="24"/>
                <w:szCs w:val="24"/>
              </w:rPr>
              <w:t>：</w:t>
            </w:r>
            <w:r>
              <w:rPr>
                <w:rFonts w:hint="eastAsia" w:ascii="宋体" w:hAnsi="宋体" w:eastAsia="宋体" w:cs="宋体"/>
                <w:color w:val="231F20"/>
                <w:spacing w:val="5"/>
                <w:kern w:val="0"/>
                <w:sz w:val="24"/>
                <w:szCs w:val="24"/>
              </w:rPr>
              <w:t>Cp/Cs、Lp/Ls、Rp/Rs、|Z|、|Y|、R、X、G、B、θ、D、Q、VAC、IA</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sz w:val="24"/>
                <w:szCs w:val="24"/>
              </w:rPr>
            </w:pPr>
            <w:r>
              <w:rPr>
                <w:rFonts w:hint="eastAsia" w:ascii="宋体" w:hAnsi="宋体" w:eastAsia="宋体" w:cs="宋体"/>
                <w:color w:val="232323"/>
                <w:spacing w:val="5"/>
                <w:kern w:val="0"/>
                <w:sz w:val="24"/>
                <w:szCs w:val="24"/>
              </w:rPr>
              <w:t>3）</w:t>
            </w:r>
            <w:r>
              <w:rPr>
                <w:rFonts w:hint="eastAsia" w:ascii="宋体" w:hAnsi="宋体" w:eastAsia="宋体" w:cs="宋体"/>
                <w:color w:val="231F20"/>
                <w:spacing w:val="5"/>
                <w:kern w:val="0"/>
                <w:sz w:val="24"/>
                <w:szCs w:val="24"/>
              </w:rPr>
              <w:t>DC</w:t>
            </w:r>
            <w:r>
              <w:rPr>
                <w:rFonts w:hint="eastAsia" w:ascii="宋体" w:hAnsi="宋体" w:eastAsia="宋体" w:cs="宋体"/>
                <w:color w:val="232323"/>
                <w:spacing w:val="5"/>
                <w:kern w:val="0"/>
                <w:sz w:val="24"/>
                <w:szCs w:val="24"/>
              </w:rPr>
              <w:t>：</w:t>
            </w:r>
            <w:r>
              <w:rPr>
                <w:rFonts w:hint="eastAsia" w:ascii="宋体" w:hAnsi="宋体" w:eastAsia="宋体" w:cs="宋体"/>
                <w:color w:val="231F20"/>
                <w:spacing w:val="5"/>
                <w:kern w:val="0"/>
                <w:sz w:val="24"/>
                <w:szCs w:val="24"/>
              </w:rPr>
              <w:t>RDC、VDC、IDC</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（3）测试频率</w:t>
            </w:r>
            <w:r>
              <w:rPr>
                <w:rFonts w:hint="eastAsia" w:ascii="宋体" w:hAnsi="宋体" w:eastAsia="宋体" w:cs="宋体"/>
                <w:sz w:val="24"/>
                <w:szCs w:val="24"/>
              </w:rPr>
              <w:tab/>
            </w:r>
          </w:p>
          <w:p>
            <w:pPr>
              <w:keepNext w:val="0"/>
              <w:keepLines w:val="0"/>
              <w:pageBreakBefore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1）范围：20Hz-2MHz</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2）精度：0.01%</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3）分辨率：0.1mHz (20.0000Hz-99.9999Hz)</w:t>
            </w:r>
          </w:p>
          <w:p>
            <w:pPr>
              <w:keepNext w:val="0"/>
              <w:keepLines w:val="0"/>
              <w:pageBreakBefore w:val="0"/>
              <w:widowControl/>
              <w:tabs>
                <w:tab w:val="left" w:pos="1025"/>
                <w:tab w:val="left" w:pos="3052"/>
              </w:tabs>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2323"/>
                <w:spacing w:val="5"/>
                <w:kern w:val="0"/>
                <w:sz w:val="24"/>
                <w:szCs w:val="24"/>
              </w:rPr>
            </w:pPr>
            <w:r>
              <w:rPr>
                <w:rFonts w:hint="eastAsia" w:ascii="宋体" w:hAnsi="宋体" w:eastAsia="宋体" w:cs="宋体"/>
                <w:color w:val="231F20"/>
                <w:spacing w:val="5"/>
                <w:kern w:val="0"/>
                <w:sz w:val="24"/>
                <w:szCs w:val="24"/>
              </w:rPr>
              <w:t>1mHz</w:t>
            </w:r>
            <w:r>
              <w:rPr>
                <w:rFonts w:hint="eastAsia" w:ascii="宋体" w:hAnsi="宋体" w:eastAsia="宋体" w:cs="宋体"/>
                <w:color w:val="232323"/>
                <w:spacing w:val="5"/>
                <w:kern w:val="0"/>
                <w:sz w:val="24"/>
                <w:szCs w:val="24"/>
              </w:rPr>
              <w:t> </w:t>
            </w:r>
            <w:r>
              <w:rPr>
                <w:rFonts w:hint="eastAsia" w:ascii="宋体" w:hAnsi="宋体" w:eastAsia="宋体" w:cs="宋体"/>
                <w:color w:val="231F20"/>
                <w:spacing w:val="5"/>
                <w:kern w:val="0"/>
                <w:sz w:val="24"/>
                <w:szCs w:val="24"/>
              </w:rPr>
              <w:t>(100.000Hz-999.999Hz)</w:t>
            </w:r>
          </w:p>
          <w:p>
            <w:pPr>
              <w:keepNext w:val="0"/>
              <w:keepLines w:val="0"/>
              <w:pageBreakBefore w:val="0"/>
              <w:widowControl/>
              <w:tabs>
                <w:tab w:val="left" w:pos="1025"/>
                <w:tab w:val="left" w:pos="3052"/>
              </w:tabs>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2323"/>
                <w:spacing w:val="5"/>
                <w:kern w:val="0"/>
                <w:sz w:val="24"/>
                <w:szCs w:val="24"/>
              </w:rPr>
            </w:pPr>
            <w:r>
              <w:rPr>
                <w:rFonts w:hint="eastAsia" w:ascii="宋体" w:hAnsi="宋体" w:eastAsia="宋体" w:cs="宋体"/>
                <w:color w:val="231F20"/>
                <w:spacing w:val="5"/>
                <w:kern w:val="0"/>
                <w:sz w:val="24"/>
                <w:szCs w:val="24"/>
              </w:rPr>
              <w:t>10mHz (1.00000kHz-9.99999kHz)</w:t>
            </w:r>
          </w:p>
          <w:p>
            <w:pPr>
              <w:keepNext w:val="0"/>
              <w:keepLines w:val="0"/>
              <w:pageBreakBefore w:val="0"/>
              <w:widowControl/>
              <w:tabs>
                <w:tab w:val="left" w:pos="1025"/>
                <w:tab w:val="left" w:pos="3052"/>
              </w:tabs>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2323"/>
                <w:spacing w:val="5"/>
                <w:kern w:val="0"/>
                <w:sz w:val="24"/>
                <w:szCs w:val="24"/>
              </w:rPr>
            </w:pPr>
            <w:r>
              <w:rPr>
                <w:rFonts w:hint="eastAsia" w:ascii="宋体" w:hAnsi="宋体" w:eastAsia="宋体" w:cs="宋体"/>
                <w:color w:val="231F20"/>
                <w:spacing w:val="5"/>
                <w:kern w:val="0"/>
                <w:sz w:val="24"/>
                <w:szCs w:val="24"/>
              </w:rPr>
              <w:t>100mHz (10.0000kHz-99.9999kHz )</w:t>
            </w:r>
          </w:p>
          <w:p>
            <w:pPr>
              <w:keepNext w:val="0"/>
              <w:keepLines w:val="0"/>
              <w:pageBreakBefore w:val="0"/>
              <w:widowControl/>
              <w:tabs>
                <w:tab w:val="left" w:pos="1025"/>
                <w:tab w:val="left" w:pos="3052"/>
              </w:tabs>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2323"/>
                <w:spacing w:val="5"/>
                <w:kern w:val="0"/>
                <w:sz w:val="24"/>
                <w:szCs w:val="24"/>
              </w:rPr>
            </w:pPr>
            <w:r>
              <w:rPr>
                <w:rFonts w:hint="eastAsia" w:ascii="宋体" w:hAnsi="宋体" w:eastAsia="宋体" w:cs="宋体"/>
                <w:color w:val="231F20"/>
                <w:spacing w:val="5"/>
                <w:kern w:val="0"/>
                <w:sz w:val="24"/>
                <w:szCs w:val="24"/>
              </w:rPr>
              <w:t>1Hz (100.000kHz-999.999kHz)</w:t>
            </w:r>
          </w:p>
          <w:p>
            <w:pPr>
              <w:keepNext w:val="0"/>
              <w:keepLines w:val="0"/>
              <w:pageBreakBefore w:val="0"/>
              <w:widowControl/>
              <w:tabs>
                <w:tab w:val="left" w:pos="1025"/>
                <w:tab w:val="left" w:pos="3052"/>
              </w:tabs>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2323"/>
                <w:spacing w:val="5"/>
                <w:kern w:val="0"/>
                <w:sz w:val="24"/>
                <w:szCs w:val="24"/>
              </w:rPr>
            </w:pPr>
            <w:r>
              <w:rPr>
                <w:rFonts w:hint="eastAsia" w:ascii="宋体" w:hAnsi="宋体" w:eastAsia="宋体" w:cs="宋体"/>
                <w:color w:val="231F20"/>
                <w:spacing w:val="5"/>
                <w:kern w:val="0"/>
                <w:sz w:val="24"/>
                <w:szCs w:val="24"/>
              </w:rPr>
              <w:t>10Hz (1.00000MHz-2.00000MHz)</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（4）AC测试信号模式</w:t>
            </w:r>
            <w:r>
              <w:rPr>
                <w:rFonts w:hint="eastAsia" w:ascii="宋体" w:hAnsi="宋体" w:eastAsia="宋体" w:cs="宋体"/>
                <w:sz w:val="24"/>
                <w:szCs w:val="24"/>
              </w:rPr>
              <w:tab/>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1）额定值(ALC OFF)：设定电压为测试端开路时Hcur电压设定电流为测试端短路时从Hcur流出电流</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2）恒定值(ALC ON)：保持DUT上电压与设定值相同保持DUT上电流与设定值相同</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（5）测试电平</w:t>
            </w:r>
            <w:r>
              <w:rPr>
                <w:rFonts w:hint="eastAsia" w:ascii="宋体" w:hAnsi="宋体" w:eastAsia="宋体" w:cs="宋体"/>
                <w:sz w:val="24"/>
                <w:szCs w:val="24"/>
              </w:rPr>
              <w:tab/>
            </w:r>
          </w:p>
          <w:p>
            <w:pPr>
              <w:keepNext w:val="0"/>
              <w:keepLines w:val="0"/>
              <w:pageBreakBefore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1）电压范围：F≤1MHz 5mVrms-20Vrms、F＞1MHz 5mVrms-15Vrms</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2）准确度：±（10%×设定值+2mV）（AC≤2Vrms）</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±（10%×设定值+5mV）（AC＞2Vrms）</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3）分辨率：</w:t>
            </w:r>
            <w:r>
              <w:rPr>
                <w:rFonts w:hint="eastAsia" w:ascii="宋体" w:hAnsi="宋体" w:eastAsia="宋体" w:cs="宋体"/>
                <w:color w:val="231F20"/>
                <w:spacing w:val="5"/>
                <w:kern w:val="0"/>
                <w:sz w:val="24"/>
                <w:szCs w:val="24"/>
                <w:lang w:val="en-US" w:eastAsia="zh-CN"/>
              </w:rPr>
              <w:t xml:space="preserve"> </w:t>
            </w:r>
            <w:r>
              <w:rPr>
                <w:rFonts w:hint="eastAsia" w:ascii="宋体" w:hAnsi="宋体" w:eastAsia="宋体" w:cs="宋体"/>
                <w:color w:val="231F20"/>
                <w:spacing w:val="5"/>
                <w:kern w:val="0"/>
                <w:sz w:val="24"/>
                <w:szCs w:val="24"/>
              </w:rPr>
              <w:t>1mVrms（5mVrms-0.2Vrms）</w:t>
            </w:r>
          </w:p>
          <w:p>
            <w:pPr>
              <w:keepNext w:val="0"/>
              <w:keepLines w:val="0"/>
              <w:pageBreakBefore w:val="0"/>
              <w:kinsoku/>
              <w:wordWrap/>
              <w:overflowPunct/>
              <w:topLinePunct w:val="0"/>
              <w:autoSpaceDE/>
              <w:autoSpaceDN/>
              <w:bidi w:val="0"/>
              <w:adjustRightInd/>
              <w:snapToGrid/>
              <w:spacing w:line="400" w:lineRule="exact"/>
              <w:ind w:right="0" w:rightChars="0" w:firstLine="2000" w:firstLineChars="8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1mVrms（0.2Vrms-0.5Vrms）</w:t>
            </w:r>
          </w:p>
          <w:p>
            <w:pPr>
              <w:keepNext w:val="0"/>
              <w:keepLines w:val="0"/>
              <w:pageBreakBefore w:val="0"/>
              <w:kinsoku/>
              <w:wordWrap/>
              <w:overflowPunct/>
              <w:topLinePunct w:val="0"/>
              <w:autoSpaceDE/>
              <w:autoSpaceDN/>
              <w:bidi w:val="0"/>
              <w:adjustRightInd/>
              <w:snapToGrid/>
              <w:spacing w:line="400" w:lineRule="exact"/>
              <w:ind w:right="0" w:rightChars="0" w:firstLine="2000" w:firstLineChars="8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1mVrms(0.5Vrms-1Vrms)</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2000" w:firstLineChars="8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10mVrms(1Vrms-2Vrms)</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2000" w:firstLineChars="8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10mVrms(2Vrms-5Vrms)</w:t>
            </w:r>
          </w:p>
          <w:p>
            <w:pPr>
              <w:keepNext w:val="0"/>
              <w:keepLines w:val="0"/>
              <w:pageBreakBefore w:val="0"/>
              <w:kinsoku/>
              <w:wordWrap/>
              <w:overflowPunct/>
              <w:topLinePunct w:val="0"/>
              <w:autoSpaceDE/>
              <w:autoSpaceDN/>
              <w:bidi w:val="0"/>
              <w:adjustRightInd/>
              <w:snapToGrid/>
              <w:spacing w:line="400" w:lineRule="exact"/>
              <w:ind w:right="0" w:rightChars="0" w:firstLine="2000" w:firstLineChars="8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10mVrms(5Vrms-10Vrms)</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2000" w:firstLineChars="8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10mVrms(10Vrms-20Vrms)</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4）电流范围：50μArms-100mArms</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5）分辨率(100Ω内阻)：10μArms (50μArms-2mArms)</w:t>
            </w:r>
          </w:p>
          <w:p>
            <w:pPr>
              <w:keepNext w:val="0"/>
              <w:keepLines w:val="0"/>
              <w:pageBreakBefore w:val="0"/>
              <w:widowControl/>
              <w:tabs>
                <w:tab w:val="left" w:pos="1025"/>
                <w:tab w:val="left" w:pos="3380"/>
              </w:tabs>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color w:val="232323"/>
                <w:spacing w:val="5"/>
                <w:kern w:val="0"/>
                <w:sz w:val="24"/>
                <w:szCs w:val="24"/>
              </w:rPr>
            </w:pPr>
            <w:r>
              <w:rPr>
                <w:rFonts w:hint="eastAsia" w:ascii="宋体" w:hAnsi="宋体" w:eastAsia="宋体" w:cs="宋体"/>
                <w:color w:val="232323"/>
                <w:spacing w:val="5"/>
                <w:kern w:val="0"/>
                <w:sz w:val="24"/>
                <w:szCs w:val="24"/>
              </w:rPr>
              <w:tab/>
            </w:r>
            <w:r>
              <w:rPr>
                <w:rFonts w:hint="eastAsia" w:ascii="宋体" w:hAnsi="宋体" w:eastAsia="宋体" w:cs="宋体"/>
                <w:color w:val="232323"/>
                <w:spacing w:val="5"/>
                <w:kern w:val="0"/>
                <w:sz w:val="24"/>
                <w:szCs w:val="24"/>
                <w:lang w:val="en-US" w:eastAsia="zh-CN"/>
              </w:rPr>
              <w:t xml:space="preserve">                </w:t>
            </w:r>
            <w:r>
              <w:rPr>
                <w:rFonts w:hint="eastAsia" w:ascii="宋体" w:hAnsi="宋体" w:eastAsia="宋体" w:cs="宋体"/>
                <w:color w:val="231F20"/>
                <w:spacing w:val="5"/>
                <w:kern w:val="0"/>
                <w:sz w:val="24"/>
                <w:szCs w:val="24"/>
              </w:rPr>
              <w:t>10μArms (2mArms-5mArms)</w:t>
            </w:r>
          </w:p>
          <w:p>
            <w:pPr>
              <w:keepNext w:val="0"/>
              <w:keepLines w:val="0"/>
              <w:pageBreakBefore w:val="0"/>
              <w:widowControl/>
              <w:tabs>
                <w:tab w:val="left" w:pos="1025"/>
                <w:tab w:val="left" w:pos="3380"/>
              </w:tabs>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color w:val="232323"/>
                <w:spacing w:val="5"/>
                <w:kern w:val="0"/>
                <w:sz w:val="24"/>
                <w:szCs w:val="24"/>
              </w:rPr>
            </w:pPr>
            <w:r>
              <w:rPr>
                <w:rFonts w:hint="eastAsia" w:ascii="宋体" w:hAnsi="宋体" w:eastAsia="宋体" w:cs="宋体"/>
                <w:color w:val="232323"/>
                <w:spacing w:val="5"/>
                <w:kern w:val="0"/>
                <w:sz w:val="24"/>
                <w:szCs w:val="24"/>
              </w:rPr>
              <w:tab/>
            </w:r>
            <w:r>
              <w:rPr>
                <w:rFonts w:hint="eastAsia" w:ascii="宋体" w:hAnsi="宋体" w:eastAsia="宋体" w:cs="宋体"/>
                <w:color w:val="232323"/>
                <w:spacing w:val="5"/>
                <w:kern w:val="0"/>
                <w:sz w:val="24"/>
                <w:szCs w:val="24"/>
                <w:lang w:val="en-US" w:eastAsia="zh-CN"/>
              </w:rPr>
              <w:t xml:space="preserve">                </w:t>
            </w:r>
            <w:r>
              <w:rPr>
                <w:rFonts w:hint="eastAsia" w:ascii="宋体" w:hAnsi="宋体" w:eastAsia="宋体" w:cs="宋体"/>
                <w:color w:val="231F20"/>
                <w:spacing w:val="5"/>
                <w:kern w:val="0"/>
                <w:sz w:val="24"/>
                <w:szCs w:val="24"/>
              </w:rPr>
              <w:t>10μArms (5mArms-10mArms)</w:t>
            </w:r>
          </w:p>
          <w:p>
            <w:pPr>
              <w:keepNext w:val="0"/>
              <w:keepLines w:val="0"/>
              <w:pageBreakBefore w:val="0"/>
              <w:widowControl/>
              <w:tabs>
                <w:tab w:val="left" w:pos="1025"/>
                <w:tab w:val="left" w:pos="3380"/>
              </w:tabs>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color w:val="232323"/>
                <w:spacing w:val="5"/>
                <w:kern w:val="0"/>
                <w:sz w:val="24"/>
                <w:szCs w:val="24"/>
              </w:rPr>
            </w:pPr>
            <w:r>
              <w:rPr>
                <w:rFonts w:hint="eastAsia" w:ascii="宋体" w:hAnsi="宋体" w:eastAsia="宋体" w:cs="宋体"/>
                <w:color w:val="232323"/>
                <w:spacing w:val="5"/>
                <w:kern w:val="0"/>
                <w:sz w:val="24"/>
                <w:szCs w:val="24"/>
              </w:rPr>
              <w:tab/>
            </w:r>
            <w:r>
              <w:rPr>
                <w:rFonts w:hint="eastAsia" w:ascii="宋体" w:hAnsi="宋体" w:eastAsia="宋体" w:cs="宋体"/>
                <w:color w:val="232323"/>
                <w:spacing w:val="5"/>
                <w:kern w:val="0"/>
                <w:sz w:val="24"/>
                <w:szCs w:val="24"/>
                <w:lang w:val="en-US" w:eastAsia="zh-CN"/>
              </w:rPr>
              <w:t xml:space="preserve">              </w:t>
            </w:r>
            <w:r>
              <w:rPr>
                <w:rFonts w:hint="eastAsia" w:ascii="宋体" w:hAnsi="宋体" w:eastAsia="宋体" w:cs="宋体"/>
                <w:color w:val="231F20"/>
                <w:spacing w:val="5"/>
                <w:kern w:val="0"/>
                <w:sz w:val="24"/>
                <w:szCs w:val="24"/>
              </w:rPr>
              <w:t>100μArms (10mArms-20mArms)</w:t>
            </w:r>
          </w:p>
          <w:p>
            <w:pPr>
              <w:keepNext w:val="0"/>
              <w:keepLines w:val="0"/>
              <w:pageBreakBefore w:val="0"/>
              <w:widowControl/>
              <w:tabs>
                <w:tab w:val="left" w:pos="1025"/>
                <w:tab w:val="left" w:pos="3380"/>
              </w:tabs>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color w:val="232323"/>
                <w:spacing w:val="5"/>
                <w:kern w:val="0"/>
                <w:sz w:val="24"/>
                <w:szCs w:val="24"/>
              </w:rPr>
            </w:pPr>
            <w:r>
              <w:rPr>
                <w:rFonts w:hint="eastAsia" w:ascii="宋体" w:hAnsi="宋体" w:eastAsia="宋体" w:cs="宋体"/>
                <w:color w:val="232323"/>
                <w:spacing w:val="5"/>
                <w:kern w:val="0"/>
                <w:sz w:val="24"/>
                <w:szCs w:val="24"/>
              </w:rPr>
              <w:tab/>
            </w:r>
            <w:r>
              <w:rPr>
                <w:rFonts w:hint="eastAsia" w:ascii="宋体" w:hAnsi="宋体" w:eastAsia="宋体" w:cs="宋体"/>
                <w:color w:val="232323"/>
                <w:spacing w:val="5"/>
                <w:kern w:val="0"/>
                <w:sz w:val="24"/>
                <w:szCs w:val="24"/>
                <w:lang w:val="en-US" w:eastAsia="zh-CN"/>
              </w:rPr>
              <w:t xml:space="preserve">              </w:t>
            </w:r>
            <w:r>
              <w:rPr>
                <w:rFonts w:hint="eastAsia" w:ascii="宋体" w:hAnsi="宋体" w:eastAsia="宋体" w:cs="宋体"/>
                <w:color w:val="231F20"/>
                <w:spacing w:val="5"/>
                <w:kern w:val="0"/>
                <w:sz w:val="24"/>
                <w:szCs w:val="24"/>
              </w:rPr>
              <w:t>100μArms (20mArms-50mArms)</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color w:val="232323"/>
                <w:spacing w:val="5"/>
                <w:kern w:val="0"/>
                <w:sz w:val="24"/>
                <w:szCs w:val="24"/>
              </w:rPr>
            </w:pPr>
            <w:r>
              <w:rPr>
                <w:rFonts w:hint="eastAsia" w:ascii="宋体" w:hAnsi="宋体" w:eastAsia="宋体" w:cs="宋体"/>
                <w:color w:val="232323"/>
                <w:spacing w:val="5"/>
                <w:kern w:val="0"/>
                <w:sz w:val="24"/>
                <w:szCs w:val="24"/>
              </w:rPr>
              <w:tab/>
            </w:r>
            <w:r>
              <w:rPr>
                <w:rFonts w:hint="eastAsia" w:ascii="宋体" w:hAnsi="宋体" w:eastAsia="宋体" w:cs="宋体"/>
                <w:color w:val="232323"/>
                <w:spacing w:val="5"/>
                <w:kern w:val="0"/>
                <w:sz w:val="24"/>
                <w:szCs w:val="24"/>
              </w:rPr>
              <w:tab/>
            </w:r>
            <w:r>
              <w:rPr>
                <w:rFonts w:hint="eastAsia" w:ascii="宋体" w:hAnsi="宋体" w:eastAsia="宋体" w:cs="宋体"/>
                <w:color w:val="232323"/>
                <w:spacing w:val="5"/>
                <w:kern w:val="0"/>
                <w:sz w:val="24"/>
                <w:szCs w:val="24"/>
              </w:rPr>
              <w:t xml:space="preserve">               </w:t>
            </w:r>
            <w:r>
              <w:rPr>
                <w:rFonts w:hint="eastAsia" w:ascii="宋体" w:hAnsi="宋体" w:eastAsia="宋体" w:cs="宋体"/>
                <w:color w:val="231F20"/>
                <w:spacing w:val="5"/>
                <w:kern w:val="0"/>
                <w:sz w:val="24"/>
                <w:szCs w:val="24"/>
              </w:rPr>
              <w:t>100μArms (50mArms-100mArms)</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（6）RDC测试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1）电压范围：100mV-20V</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2）分辨率：1mV(0V-1V)、 10mV(1V-20V)</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3）电流范围：0mA-100mA</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4）分辨率：10μA(0mA-10mA)、 100μA(10mA-100mA)</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（7）DC偏置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1）电压范围：0V-±40V</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2）准确度：AC≤2V 1%×设定电压+5mV、AC&gt;2V 2%×设定电压+8mV</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3）分辨率：1mV(0V-1V)、10mV(±1V- ±40V)</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4）电流范围：0mA-±100mA</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5）分辨率：10μA(0mA-10mA)、100μA(10mA-100mA)</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（8）内置电流源</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1）电流范围：0mA-2A</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2）准确度：I&gt;5mA ±（2%×设定值+2mA）</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3）分辨率：1mA</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（9）测试端配置：四端对</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（10）测试电缆长度：0m、1m、2m、4m</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（11）输出阻抗：30Ω，±4%@1kHz、100Ω，±2%@1kHz</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（12）数学运算：与标称值的绝对偏差Δ，与标称值的百分比偏差Δ%</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（13）等效方式：串联、并联</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（14）校准功能：开路OPEN、短路SHORT、负载LOAD</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（15）测量平均：1-255次</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（16）量程选择：自动AUTO、手动HOLD</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（17）量程配置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sz w:val="24"/>
                <w:szCs w:val="24"/>
              </w:rPr>
            </w:pPr>
            <w:r>
              <w:rPr>
                <w:rFonts w:hint="eastAsia" w:ascii="宋体" w:hAnsi="宋体" w:eastAsia="宋体" w:cs="宋体"/>
                <w:color w:val="231F20"/>
                <w:spacing w:val="5"/>
                <w:kern w:val="0"/>
                <w:sz w:val="24"/>
                <w:szCs w:val="24"/>
              </w:rPr>
              <w:t>1）LCR</w:t>
            </w:r>
            <w:r>
              <w:rPr>
                <w:rFonts w:hint="eastAsia" w:ascii="宋体" w:hAnsi="宋体" w:eastAsia="宋体" w:cs="宋体"/>
                <w:color w:val="232323"/>
                <w:spacing w:val="5"/>
                <w:kern w:val="0"/>
                <w:sz w:val="24"/>
                <w:szCs w:val="24"/>
              </w:rPr>
              <w:t>：</w:t>
            </w:r>
            <w:r>
              <w:rPr>
                <w:rFonts w:hint="eastAsia" w:ascii="宋体" w:hAnsi="宋体" w:eastAsia="宋体" w:cs="宋体"/>
                <w:color w:val="231F20"/>
                <w:spacing w:val="5"/>
                <w:kern w:val="0"/>
                <w:sz w:val="24"/>
                <w:szCs w:val="24"/>
              </w:rPr>
              <w:t>100mΩ、1Ω、10Ω、20Ω、50Ω、100Ω、200Ω、500Ω、1kΩ、2kΩ、5kΩ、10kΩ、20kΩ、50kΩ、100kΩ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sz w:val="24"/>
                <w:szCs w:val="24"/>
              </w:rPr>
            </w:pPr>
            <w:r>
              <w:rPr>
                <w:rFonts w:hint="eastAsia" w:ascii="宋体" w:hAnsi="宋体" w:eastAsia="宋体" w:cs="宋体"/>
                <w:color w:val="232323"/>
                <w:spacing w:val="5"/>
                <w:kern w:val="0"/>
                <w:sz w:val="24"/>
                <w:szCs w:val="24"/>
              </w:rPr>
              <w:t>2）</w:t>
            </w:r>
            <w:r>
              <w:rPr>
                <w:rFonts w:hint="eastAsia" w:ascii="宋体" w:hAnsi="宋体" w:eastAsia="宋体" w:cs="宋体"/>
                <w:color w:val="231F20"/>
                <w:spacing w:val="5"/>
                <w:kern w:val="0"/>
                <w:sz w:val="24"/>
                <w:szCs w:val="24"/>
              </w:rPr>
              <w:t>RDC</w:t>
            </w:r>
            <w:r>
              <w:rPr>
                <w:rFonts w:hint="eastAsia" w:ascii="宋体" w:hAnsi="宋体" w:eastAsia="宋体" w:cs="宋体"/>
                <w:color w:val="232323"/>
                <w:spacing w:val="5"/>
                <w:kern w:val="0"/>
                <w:sz w:val="24"/>
                <w:szCs w:val="24"/>
              </w:rPr>
              <w:t>：</w:t>
            </w:r>
            <w:r>
              <w:rPr>
                <w:rFonts w:hint="eastAsia" w:ascii="宋体" w:hAnsi="宋体" w:eastAsia="宋体" w:cs="宋体"/>
                <w:color w:val="231F20"/>
                <w:spacing w:val="5"/>
                <w:kern w:val="0"/>
                <w:sz w:val="24"/>
                <w:szCs w:val="24"/>
              </w:rPr>
              <w:t>1Ω、10Ω、20Ω、50Ω、100Ω、200Ω、500Ω、1kΩ、2kΩ、5kΩ、10kΩ、20kΩ、50kΩ、100kΩ</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（18）测量时间：快速+:0.56ms、快速:3.3ms、中速: 90ms、慢速: 220ms</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（19）最高准确度：0.05%</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（20）测量显示范围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1）Cs、Cp：0.00001pF-9.99999F</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2）Ls、Lp：0.00001μH-99.9999kH</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3）D：0.00001-9.99999</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4）Q：0.00001-99999.9</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5）R、Rs、Rp、X、Z、RDC：0.001mΩ-99.9999MΩ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6）G、B、Y：0.00001μs-99.9999S</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7）VDC：±0V-±999.999V</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8）IDC：±0A-±999.999A</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9）θr：-3.14159-3.14159</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10）θd-179.999°-179.999°</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11）Δ%：±（0.000%-999.9%）</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（21）多功能参数列表扫描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1）点数：201点，每个点可设置平均次数，每个点可单独分选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2）参数：测试频率、AC电压、AC电流、DC BIAS电压、DC BIAS电流(100mA)、DC BIAS电流(2A)</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3）触发模式</w:t>
            </w:r>
            <w:r>
              <w:rPr>
                <w:rFonts w:hint="eastAsia" w:ascii="宋体" w:hAnsi="宋体" w:eastAsia="宋体" w:cs="宋体"/>
                <w:color w:val="231F20"/>
                <w:spacing w:val="5"/>
                <w:kern w:val="0"/>
                <w:sz w:val="24"/>
                <w:szCs w:val="24"/>
              </w:rPr>
              <w:tab/>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①顺序SEQ：当一次触发后，在所有扫描点测量，/EOM/INDEX只输出一次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②步进STEP：每次触发执行一个扫描点测量，每点均输出/EOM/INDEX，但列表扫描比较器结果只在最后的/EOM才输出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4）其他特点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①扫描参数与测试参数都有多种复制功能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②每个扫描点均可设置延时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5）比较器：每个扫描点最多可测量四个测试参数，每个参数均可设置上下限，所有测试参数都合格输出PASS信号，否则输出FAIL信号，未设上下限则不判断</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（22）图形扫描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1）扫描点数：51、101、201、401、801点可选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2）结果显示：每个参数的极值以及光标所在点的扫描参数值与对应的测试参数值</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3）扫描轨迹：1-4个测试参数任意选择，扫描曲线可以一分屏、二分屏、四分屏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4）显示范围：实时自动、锁定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5）坐标标尺：对数、线性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6）扫描参数：频率、AC电压、AC电流、DCV BIAS / DCI  BIAS(100mA) / DCI  BIAS(2A)</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7）触发方式：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①单次：手动触发一次，从起点到终点一次扫描完成，下个触发信号启动新一次扫描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②连续：从起点到终点无限次循环扫描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8）结果保存：图形、文件</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（23）比较器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1）Bin分档：10Bin、PASS、FAIL</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2）Bin偏差设置：偏差值、百分偏差值、关</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3）Bin模式：容差、连续</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4）Bin计数：0-99999</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5）档判别：每档最多可设置四个参数极限范围，四个测试参数结果设档范围内显示对应档号，超出设定最大档号范围则显示FAIL，未设置上下限的测试参数自动忽略档判别</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6）PASS/FAIL指示</w:t>
            </w:r>
            <w:r>
              <w:rPr>
                <w:rFonts w:hint="eastAsia" w:ascii="宋体" w:hAnsi="宋体" w:eastAsia="宋体" w:cs="宋体"/>
                <w:color w:val="231F20"/>
                <w:spacing w:val="5"/>
                <w:kern w:val="0"/>
                <w:sz w:val="24"/>
                <w:szCs w:val="24"/>
              </w:rPr>
              <w:tab/>
            </w:r>
            <w:r>
              <w:rPr>
                <w:rFonts w:hint="eastAsia" w:ascii="宋体" w:hAnsi="宋体" w:eastAsia="宋体" w:cs="宋体"/>
                <w:color w:val="231F20"/>
                <w:spacing w:val="5"/>
                <w:kern w:val="0"/>
                <w:sz w:val="24"/>
                <w:szCs w:val="24"/>
              </w:rPr>
              <w:t>满足Bin1-10,前面板PASS灯亮，否则FAIL灯量</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（24）数据缓存：201个测量结果可分批读取</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（25）存储调用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1）内部：约100M非易失存储器测试设定文件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2）外置USB：测试设定文件、截屏图形、记录文件</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sz w:val="24"/>
                <w:szCs w:val="24"/>
              </w:rPr>
              <w:t>（26）键盘锁定：可锁定前面板按键，其他功能待扩充</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（27）接口</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1）USB HOST：2个USB HOST接口，可同时接鼠标、键盘，U盘同时只能使用一个</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2）USB DEVICE：通用串行总线插座，小型B类（4个接触位置）；与USB TMC-USB488和USB2.0相符合，阴接头用于连接外部控制器。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3）LAN：10/100M以太网自适应</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4）HANDLER：用于Bin分档信号输出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5）外部DC BIAS控制：支持TH1778A</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6）RS232C：标准9针，交叉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00" w:firstLineChars="200"/>
              <w:jc w:val="left"/>
              <w:textAlignment w:val="auto"/>
              <w:rPr>
                <w:rFonts w:hint="eastAsia" w:ascii="宋体" w:hAnsi="宋体" w:eastAsia="宋体" w:cs="宋体"/>
                <w:color w:val="231F20"/>
                <w:spacing w:val="5"/>
                <w:kern w:val="0"/>
                <w:sz w:val="24"/>
                <w:szCs w:val="24"/>
              </w:rPr>
            </w:pPr>
            <w:r>
              <w:rPr>
                <w:rFonts w:hint="eastAsia" w:ascii="宋体" w:hAnsi="宋体" w:eastAsia="宋体" w:cs="宋体"/>
                <w:color w:val="231F20"/>
                <w:spacing w:val="5"/>
                <w:kern w:val="0"/>
                <w:sz w:val="24"/>
                <w:szCs w:val="24"/>
              </w:rPr>
              <w:t>7）RS485：可以接受改制或外接RS232转RS485模块</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b w:val="0"/>
                <w:bCs/>
                <w:color w:val="auto"/>
                <w:sz w:val="24"/>
                <w:szCs w:val="24"/>
              </w:rPr>
            </w:pPr>
            <w:r>
              <w:rPr>
                <w:rFonts w:hint="eastAsia" w:ascii="宋体" w:hAnsi="宋体" w:eastAsia="宋体" w:cs="宋体"/>
                <w:sz w:val="24"/>
                <w:szCs w:val="24"/>
              </w:rPr>
              <w:t>（28）输入电压：100-120VAC/198-242VAC可选择，47-63Hz</w:t>
            </w:r>
          </w:p>
        </w:tc>
        <w:tc>
          <w:tcPr>
            <w:tcW w:w="765" w:type="dxa"/>
            <w:vAlign w:val="center"/>
          </w:tcPr>
          <w:p>
            <w:pPr>
              <w:pStyle w:val="7"/>
              <w:keepNext w:val="0"/>
              <w:keepLines w:val="0"/>
              <w:pageBreakBefore w:val="0"/>
              <w:kinsoku/>
              <w:wordWrap/>
              <w:overflowPunct/>
              <w:topLinePunct w:val="0"/>
              <w:autoSpaceDE/>
              <w:autoSpaceDN/>
              <w:bidi w:val="0"/>
              <w:adjustRightInd/>
              <w:snapToGrid/>
              <w:spacing w:line="400" w:lineRule="exact"/>
              <w:ind w:firstLine="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w:t>
            </w:r>
          </w:p>
        </w:tc>
        <w:tc>
          <w:tcPr>
            <w:tcW w:w="768" w:type="dxa"/>
            <w:vAlign w:val="center"/>
          </w:tcPr>
          <w:p>
            <w:pPr>
              <w:pStyle w:val="7"/>
              <w:keepNext w:val="0"/>
              <w:keepLines w:val="0"/>
              <w:pageBreakBefore w:val="0"/>
              <w:kinsoku/>
              <w:wordWrap/>
              <w:overflowPunct/>
              <w:topLinePunct w:val="0"/>
              <w:autoSpaceDE/>
              <w:autoSpaceDN/>
              <w:bidi w:val="0"/>
              <w:adjustRightInd/>
              <w:snapToGrid/>
              <w:spacing w:line="400" w:lineRule="exact"/>
              <w:ind w:firstLine="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台</w:t>
            </w:r>
          </w:p>
        </w:tc>
      </w:tr>
    </w:tbl>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三、商务条件</w:t>
      </w:r>
      <w:r>
        <w:rPr>
          <w:rStyle w:val="14"/>
          <w:rFonts w:hint="eastAsia" w:ascii="宋体" w:hAnsi="宋体" w:eastAsia="宋体" w:cs="宋体"/>
          <w:b/>
          <w:bCs/>
          <w:color w:val="auto"/>
          <w:spacing w:val="0"/>
          <w:sz w:val="24"/>
          <w:szCs w:val="24"/>
        </w:rPr>
        <w:t>（以“★”标示的内容为不允许负偏离的实质性要求）</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479" w:leftChars="228" w:right="0" w:firstLine="0" w:firstLineChars="0"/>
        <w:jc w:val="left"/>
        <w:textAlignment w:val="auto"/>
        <w:rPr>
          <w:rFonts w:hint="eastAsia" w:ascii="宋体" w:hAnsi="宋体" w:eastAsia="宋体" w:cs="宋体"/>
          <w:color w:val="auto"/>
          <w:sz w:val="24"/>
          <w:szCs w:val="24"/>
        </w:rPr>
      </w:pPr>
      <w:r>
        <w:rPr>
          <w:rStyle w:val="14"/>
          <w:rFonts w:hint="eastAsia" w:ascii="宋体" w:hAnsi="宋体" w:eastAsia="宋体" w:cs="宋体"/>
          <w:b/>
          <w:bCs/>
          <w:color w:val="auto"/>
          <w:spacing w:val="0"/>
          <w:sz w:val="24"/>
          <w:szCs w:val="24"/>
        </w:rPr>
        <w:t>包：1</w:t>
      </w:r>
      <w:r>
        <w:rPr>
          <w:rStyle w:val="14"/>
          <w:rFonts w:hint="eastAsia" w:ascii="宋体" w:hAnsi="宋体" w:eastAsia="宋体" w:cs="宋体"/>
          <w:b/>
          <w:bCs/>
          <w:color w:val="auto"/>
          <w:spacing w:val="0"/>
          <w:sz w:val="24"/>
          <w:szCs w:val="24"/>
        </w:rPr>
        <w:br w:type="textWrapping"/>
      </w:r>
      <w:r>
        <w:rPr>
          <w:rStyle w:val="14"/>
          <w:rFonts w:hint="eastAsia" w:ascii="宋体" w:hAnsi="宋体" w:eastAsia="宋体" w:cs="宋体"/>
          <w:b/>
          <w:bCs/>
          <w:color w:val="auto"/>
          <w:spacing w:val="0"/>
          <w:sz w:val="24"/>
          <w:szCs w:val="24"/>
        </w:rPr>
        <w:t>1、交付地点：福建省南平市武夷山市百花路358号</w:t>
      </w:r>
      <w:r>
        <w:rPr>
          <w:rStyle w:val="14"/>
          <w:rFonts w:hint="eastAsia" w:ascii="宋体" w:hAnsi="宋体" w:eastAsia="宋体" w:cs="宋体"/>
          <w:b/>
          <w:bCs/>
          <w:color w:val="auto"/>
          <w:spacing w:val="0"/>
          <w:sz w:val="24"/>
          <w:szCs w:val="24"/>
          <w:lang w:eastAsia="zh-CN"/>
        </w:rPr>
        <w:t>武夷学院</w:t>
      </w:r>
      <w:r>
        <w:rPr>
          <w:rStyle w:val="14"/>
          <w:rFonts w:hint="eastAsia" w:ascii="宋体" w:hAnsi="宋体" w:eastAsia="宋体" w:cs="宋体"/>
          <w:b/>
          <w:bCs/>
          <w:color w:val="auto"/>
          <w:spacing w:val="0"/>
          <w:sz w:val="24"/>
          <w:szCs w:val="24"/>
        </w:rPr>
        <w:br w:type="textWrapping"/>
      </w:r>
      <w:r>
        <w:rPr>
          <w:rStyle w:val="14"/>
          <w:rFonts w:hint="eastAsia" w:ascii="宋体" w:hAnsi="宋体" w:eastAsia="宋体" w:cs="宋体"/>
          <w:b/>
          <w:bCs/>
          <w:color w:val="auto"/>
          <w:spacing w:val="0"/>
          <w:sz w:val="24"/>
          <w:szCs w:val="24"/>
        </w:rPr>
        <w:t>2、交付时间：合同签订后(</w:t>
      </w:r>
      <w:r>
        <w:rPr>
          <w:rStyle w:val="14"/>
          <w:rFonts w:hint="eastAsia" w:ascii="宋体" w:hAnsi="宋体" w:eastAsia="宋体" w:cs="宋体"/>
          <w:b/>
          <w:bCs/>
          <w:color w:val="auto"/>
          <w:spacing w:val="0"/>
          <w:sz w:val="24"/>
          <w:szCs w:val="24"/>
          <w:lang w:val="en-US" w:eastAsia="zh-CN"/>
        </w:rPr>
        <w:t>40</w:t>
      </w:r>
      <w:r>
        <w:rPr>
          <w:rStyle w:val="14"/>
          <w:rFonts w:hint="eastAsia" w:ascii="宋体" w:hAnsi="宋体" w:eastAsia="宋体" w:cs="宋体"/>
          <w:b/>
          <w:bCs/>
          <w:color w:val="auto"/>
          <w:spacing w:val="0"/>
          <w:sz w:val="24"/>
          <w:szCs w:val="24"/>
        </w:rPr>
        <w:t>)</w:t>
      </w:r>
      <w:r>
        <w:rPr>
          <w:rStyle w:val="14"/>
          <w:rFonts w:hint="eastAsia" w:ascii="宋体" w:hAnsi="宋体" w:eastAsia="宋体" w:cs="宋体"/>
          <w:b/>
          <w:bCs/>
          <w:color w:val="auto"/>
          <w:spacing w:val="0"/>
          <w:sz w:val="24"/>
          <w:szCs w:val="24"/>
          <w:lang w:eastAsia="zh-CN"/>
        </w:rPr>
        <w:t>个工作日</w:t>
      </w:r>
      <w:r>
        <w:rPr>
          <w:rStyle w:val="14"/>
          <w:rFonts w:hint="eastAsia" w:ascii="宋体" w:hAnsi="宋体" w:eastAsia="宋体" w:cs="宋体"/>
          <w:b/>
          <w:bCs/>
          <w:color w:val="auto"/>
          <w:spacing w:val="0"/>
          <w:sz w:val="24"/>
          <w:szCs w:val="24"/>
        </w:rPr>
        <w:t>内交货</w:t>
      </w:r>
      <w:r>
        <w:rPr>
          <w:rStyle w:val="14"/>
          <w:rFonts w:hint="eastAsia" w:ascii="宋体" w:hAnsi="宋体" w:eastAsia="宋体" w:cs="宋体"/>
          <w:b/>
          <w:bCs/>
          <w:color w:val="auto"/>
          <w:spacing w:val="0"/>
          <w:sz w:val="24"/>
          <w:szCs w:val="24"/>
        </w:rPr>
        <w:br w:type="textWrapping"/>
      </w:r>
      <w:r>
        <w:rPr>
          <w:rStyle w:val="14"/>
          <w:rFonts w:hint="eastAsia" w:ascii="宋体" w:hAnsi="宋体" w:eastAsia="宋体" w:cs="宋体"/>
          <w:b/>
          <w:bCs/>
          <w:color w:val="auto"/>
          <w:spacing w:val="0"/>
          <w:sz w:val="24"/>
          <w:szCs w:val="24"/>
        </w:rPr>
        <w:t>3、交付条件：采购人验收合格后</w:t>
      </w:r>
      <w:r>
        <w:rPr>
          <w:rStyle w:val="14"/>
          <w:rFonts w:hint="eastAsia" w:ascii="宋体" w:hAnsi="宋体" w:eastAsia="宋体" w:cs="宋体"/>
          <w:b/>
          <w:bCs/>
          <w:color w:val="auto"/>
          <w:spacing w:val="0"/>
          <w:sz w:val="24"/>
          <w:szCs w:val="24"/>
        </w:rPr>
        <w:br w:type="textWrapping"/>
      </w:r>
      <w:r>
        <w:rPr>
          <w:rStyle w:val="14"/>
          <w:rFonts w:hint="eastAsia" w:ascii="宋体" w:hAnsi="宋体" w:eastAsia="宋体" w:cs="宋体"/>
          <w:b/>
          <w:bCs/>
          <w:color w:val="auto"/>
          <w:spacing w:val="0"/>
          <w:sz w:val="24"/>
          <w:szCs w:val="24"/>
        </w:rPr>
        <w:t>4、是否收取履约保证金： 是。履约保证金百分比：</w:t>
      </w:r>
      <w:r>
        <w:rPr>
          <w:rStyle w:val="14"/>
          <w:rFonts w:hint="eastAsia" w:ascii="宋体" w:hAnsi="宋体" w:eastAsia="宋体" w:cs="宋体"/>
          <w:b/>
          <w:bCs/>
          <w:color w:val="auto"/>
          <w:spacing w:val="0"/>
          <w:sz w:val="24"/>
          <w:szCs w:val="24"/>
          <w:lang w:val="en-US" w:eastAsia="zh-CN"/>
        </w:rPr>
        <w:t>5</w:t>
      </w:r>
      <w:r>
        <w:rPr>
          <w:rStyle w:val="14"/>
          <w:rFonts w:hint="eastAsia" w:ascii="宋体" w:hAnsi="宋体" w:eastAsia="宋体" w:cs="宋体"/>
          <w:b/>
          <w:bCs/>
          <w:color w:val="auto"/>
          <w:spacing w:val="0"/>
          <w:sz w:val="24"/>
          <w:szCs w:val="24"/>
        </w:rPr>
        <w:t>%。说明：中标人须于确认中标</w:t>
      </w:r>
      <w:r>
        <w:rPr>
          <w:rStyle w:val="14"/>
          <w:rFonts w:hint="eastAsia" w:ascii="宋体" w:hAnsi="宋体" w:eastAsia="宋体" w:cs="宋体"/>
          <w:b/>
          <w:bCs/>
          <w:color w:val="auto"/>
          <w:spacing w:val="0"/>
          <w:sz w:val="24"/>
          <w:szCs w:val="24"/>
          <w:lang w:eastAsia="zh-CN"/>
        </w:rPr>
        <w:t>之日起</w:t>
      </w:r>
      <w:r>
        <w:rPr>
          <w:rStyle w:val="14"/>
          <w:rFonts w:hint="eastAsia" w:ascii="宋体" w:hAnsi="宋体" w:eastAsia="宋体" w:cs="宋体"/>
          <w:b/>
          <w:bCs/>
          <w:color w:val="auto"/>
          <w:spacing w:val="0"/>
          <w:sz w:val="24"/>
          <w:szCs w:val="24"/>
        </w:rPr>
        <w:t>5个工作日内，应向采购人缴纳合同总金额</w:t>
      </w:r>
      <w:r>
        <w:rPr>
          <w:rStyle w:val="14"/>
          <w:rFonts w:hint="eastAsia" w:ascii="宋体" w:hAnsi="宋体" w:eastAsia="宋体" w:cs="宋体"/>
          <w:b/>
          <w:bCs/>
          <w:color w:val="auto"/>
          <w:spacing w:val="0"/>
          <w:sz w:val="24"/>
          <w:szCs w:val="24"/>
          <w:lang w:val="en-US" w:eastAsia="zh-CN"/>
        </w:rPr>
        <w:t>5</w:t>
      </w:r>
      <w:r>
        <w:rPr>
          <w:rStyle w:val="14"/>
          <w:rFonts w:hint="eastAsia" w:ascii="宋体" w:hAnsi="宋体" w:eastAsia="宋体" w:cs="宋体"/>
          <w:b/>
          <w:bCs/>
          <w:color w:val="auto"/>
          <w:spacing w:val="0"/>
          <w:sz w:val="24"/>
          <w:szCs w:val="24"/>
        </w:rPr>
        <w:t>%的履约保证金方可签订合同；该履约保证金在项目验收合格后，中标人无违约行为且无质量未了事宜，无息退还履约保证金。如中标人严重违约，采购方有权终止合同，并没收履约保证金。退还履约保证金方式：中标人向采购人提交退还履约保证金申请报告后，采购人无息对公转账至合同标明的中标人银行账户。履约保证金缴交方式：银行转账,户名：武夷学院,账号：970101040011043；开户行：农业银行武夷山市支行营业部。</w:t>
      </w:r>
      <w:r>
        <w:rPr>
          <w:rStyle w:val="14"/>
          <w:rFonts w:hint="eastAsia" w:ascii="宋体" w:hAnsi="宋体" w:eastAsia="宋体" w:cs="宋体"/>
          <w:b/>
          <w:bCs/>
          <w:color w:val="auto"/>
          <w:spacing w:val="0"/>
          <w:sz w:val="24"/>
          <w:szCs w:val="24"/>
        </w:rPr>
        <w:br w:type="textWrapping"/>
      </w:r>
      <w:r>
        <w:rPr>
          <w:rStyle w:val="14"/>
          <w:rFonts w:hint="eastAsia" w:ascii="宋体" w:hAnsi="宋体" w:eastAsia="宋体" w:cs="宋体"/>
          <w:b/>
          <w:bCs/>
          <w:color w:val="auto"/>
          <w:spacing w:val="0"/>
          <w:sz w:val="24"/>
          <w:szCs w:val="24"/>
        </w:rPr>
        <w:t>5、是否邀请投标人参与验收：否</w:t>
      </w:r>
      <w:r>
        <w:rPr>
          <w:rStyle w:val="14"/>
          <w:rFonts w:hint="eastAsia" w:ascii="宋体" w:hAnsi="宋体" w:eastAsia="宋体" w:cs="宋体"/>
          <w:b/>
          <w:bCs/>
          <w:color w:val="auto"/>
          <w:spacing w:val="0"/>
          <w:sz w:val="24"/>
          <w:szCs w:val="24"/>
        </w:rPr>
        <w:br w:type="textWrapping"/>
      </w:r>
      <w:r>
        <w:rPr>
          <w:rStyle w:val="14"/>
          <w:rFonts w:hint="eastAsia" w:ascii="宋体" w:hAnsi="宋体" w:eastAsia="宋体" w:cs="宋体"/>
          <w:b/>
          <w:bCs/>
          <w:color w:val="auto"/>
          <w:spacing w:val="0"/>
          <w:sz w:val="24"/>
          <w:szCs w:val="24"/>
        </w:rPr>
        <w:t>6、验收方式数据表格</w:t>
      </w:r>
    </w:p>
    <w:tbl>
      <w:tblPr>
        <w:tblStyle w:val="11"/>
        <w:tblW w:w="965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931"/>
        <w:gridCol w:w="772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193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验收期次</w:t>
            </w:r>
          </w:p>
        </w:tc>
        <w:tc>
          <w:tcPr>
            <w:tcW w:w="772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93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w:t>
            </w:r>
          </w:p>
        </w:tc>
        <w:tc>
          <w:tcPr>
            <w:tcW w:w="772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仿宋_GB2312"/>
                <w:sz w:val="24"/>
                <w:szCs w:val="24"/>
              </w:rPr>
              <w:t>根据招标文件及投标文件响应情况由</w:t>
            </w:r>
            <w:r>
              <w:rPr>
                <w:rFonts w:hint="eastAsia" w:ascii="宋体" w:hAnsi="宋体" w:eastAsia="宋体" w:cs="仿宋_GB2312"/>
                <w:sz w:val="24"/>
                <w:szCs w:val="24"/>
                <w:lang w:eastAsia="zh-CN"/>
              </w:rPr>
              <w:t>采购人</w:t>
            </w:r>
            <w:r>
              <w:rPr>
                <w:rFonts w:hint="eastAsia" w:ascii="宋体" w:hAnsi="宋体" w:eastAsia="宋体" w:cs="仿宋_GB2312"/>
                <w:sz w:val="24"/>
                <w:szCs w:val="24"/>
              </w:rPr>
              <w:t>组织验收。最终用户负责货物清点和验收。验收应在货物安装调试完成后十个工作日内验收完毕。如发现物资设备与合同规定不符，采购方有权拒绝接受并向</w:t>
            </w:r>
            <w:r>
              <w:rPr>
                <w:rFonts w:hint="eastAsia" w:ascii="宋体" w:hAnsi="宋体" w:eastAsia="宋体" w:cs="仿宋_GB2312"/>
                <w:sz w:val="24"/>
                <w:szCs w:val="24"/>
                <w:lang w:eastAsia="zh-CN"/>
              </w:rPr>
              <w:t>中标人</w:t>
            </w:r>
            <w:r>
              <w:rPr>
                <w:rFonts w:hint="eastAsia" w:ascii="宋体" w:hAnsi="宋体" w:eastAsia="宋体" w:cs="仿宋_GB2312"/>
                <w:sz w:val="24"/>
                <w:szCs w:val="24"/>
              </w:rPr>
              <w:t>提出索赔。如货物在保证期内被证明存在缺陷，包括潜在的缺陷或使用不合适的材料，采购</w:t>
            </w:r>
            <w:r>
              <w:rPr>
                <w:rFonts w:hint="eastAsia" w:ascii="宋体" w:hAnsi="宋体" w:eastAsia="宋体" w:cs="仿宋_GB2312"/>
                <w:sz w:val="24"/>
                <w:szCs w:val="24"/>
                <w:lang w:eastAsia="zh-CN"/>
              </w:rPr>
              <w:t>人</w:t>
            </w:r>
            <w:r>
              <w:rPr>
                <w:rFonts w:hint="eastAsia" w:ascii="宋体" w:hAnsi="宋体" w:eastAsia="宋体" w:cs="仿宋_GB2312"/>
                <w:sz w:val="24"/>
                <w:szCs w:val="24"/>
              </w:rPr>
              <w:t>有权凭有关证明文件向</w:t>
            </w:r>
            <w:r>
              <w:rPr>
                <w:rFonts w:hint="eastAsia" w:ascii="宋体" w:hAnsi="宋体" w:eastAsia="宋体" w:cs="仿宋_GB2312"/>
                <w:sz w:val="24"/>
                <w:szCs w:val="24"/>
                <w:lang w:eastAsia="zh-CN"/>
              </w:rPr>
              <w:t>中标人</w:t>
            </w:r>
            <w:r>
              <w:rPr>
                <w:rFonts w:hint="eastAsia" w:ascii="宋体" w:hAnsi="宋体" w:eastAsia="宋体" w:cs="仿宋_GB2312"/>
                <w:sz w:val="24"/>
                <w:szCs w:val="24"/>
              </w:rPr>
              <w:t>提出索赔。</w:t>
            </w:r>
          </w:p>
        </w:tc>
      </w:tr>
    </w:tbl>
    <w:p>
      <w:pPr>
        <w:keepNext w:val="0"/>
        <w:keepLines w:val="0"/>
        <w:pageBreakBefore w:val="0"/>
        <w:widowControl/>
        <w:suppressLineNumbers w:val="0"/>
        <w:kinsoku/>
        <w:overflowPunct/>
        <w:topLinePunct w:val="0"/>
        <w:autoSpaceDE/>
        <w:autoSpaceDN/>
        <w:bidi w:val="0"/>
        <w:adjustRightInd/>
        <w:snapToGrid/>
        <w:spacing w:line="400" w:lineRule="exact"/>
        <w:ind w:left="0" w:right="0" w:firstLine="482" w:firstLineChars="200"/>
        <w:jc w:val="left"/>
        <w:textAlignment w:val="auto"/>
        <w:rPr>
          <w:rFonts w:hint="eastAsia" w:ascii="宋体" w:hAnsi="宋体" w:eastAsia="宋体" w:cs="宋体"/>
          <w:color w:val="auto"/>
          <w:sz w:val="24"/>
          <w:szCs w:val="24"/>
        </w:rPr>
      </w:pPr>
      <w:r>
        <w:rPr>
          <w:rStyle w:val="14"/>
          <w:rFonts w:hint="eastAsia" w:ascii="宋体" w:hAnsi="宋体" w:eastAsia="宋体" w:cs="宋体"/>
          <w:b/>
          <w:bCs/>
          <w:color w:val="auto"/>
          <w:kern w:val="0"/>
          <w:sz w:val="24"/>
          <w:szCs w:val="24"/>
          <w:lang w:val="en-US" w:eastAsia="zh-CN" w:bidi="ar"/>
        </w:rPr>
        <w:t>7、支付方式数据表格</w:t>
      </w:r>
    </w:p>
    <w:tbl>
      <w:tblPr>
        <w:tblStyle w:val="11"/>
        <w:tblW w:w="965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931"/>
        <w:gridCol w:w="1931"/>
        <w:gridCol w:w="579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193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支付期次</w:t>
            </w:r>
          </w:p>
        </w:tc>
        <w:tc>
          <w:tcPr>
            <w:tcW w:w="193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支付比例(%)</w:t>
            </w:r>
          </w:p>
        </w:tc>
        <w:tc>
          <w:tcPr>
            <w:tcW w:w="579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0" w:hRule="atLeast"/>
          <w:jc w:val="center"/>
        </w:trPr>
        <w:tc>
          <w:tcPr>
            <w:tcW w:w="193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center"/>
              <w:textAlignment w:val="auto"/>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w:t>
            </w:r>
          </w:p>
        </w:tc>
        <w:tc>
          <w:tcPr>
            <w:tcW w:w="193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center"/>
              <w:textAlignment w:val="auto"/>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50</w:t>
            </w:r>
          </w:p>
        </w:tc>
        <w:tc>
          <w:tcPr>
            <w:tcW w:w="579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color w:val="auto"/>
                <w:kern w:val="0"/>
                <w:sz w:val="24"/>
                <w:szCs w:val="24"/>
                <w:lang w:val="en-US" w:eastAsia="zh-CN" w:bidi="ar"/>
              </w:rPr>
            </w:pPr>
            <w:r>
              <w:rPr>
                <w:rFonts w:hint="eastAsia" w:asciiTheme="minorEastAsia" w:hAnsiTheme="minorEastAsia" w:eastAsiaTheme="minorEastAsia" w:cstheme="minorEastAsia"/>
                <w:b w:val="0"/>
                <w:bCs w:val="0"/>
                <w:color w:val="auto"/>
                <w:sz w:val="24"/>
                <w:szCs w:val="24"/>
                <w:highlight w:val="none"/>
                <w:lang w:val="en-US" w:eastAsia="zh-CN"/>
              </w:rPr>
              <w:t>合同签订</w:t>
            </w:r>
            <w:r>
              <w:rPr>
                <w:rFonts w:hint="eastAsia" w:asciiTheme="minorEastAsia" w:hAnsiTheme="minorEastAsia" w:cstheme="minorEastAsia"/>
                <w:b w:val="0"/>
                <w:bCs w:val="0"/>
                <w:color w:val="auto"/>
                <w:sz w:val="24"/>
                <w:szCs w:val="24"/>
                <w:highlight w:val="none"/>
                <w:lang w:val="en-US" w:eastAsia="zh-CN"/>
              </w:rPr>
              <w:t>后，中标人提供全</w:t>
            </w:r>
            <w:r>
              <w:rPr>
                <w:rFonts w:hint="eastAsia" w:asciiTheme="minorEastAsia" w:hAnsiTheme="minorEastAsia" w:eastAsiaTheme="minorEastAsia" w:cstheme="minorEastAsia"/>
                <w:b w:val="0"/>
                <w:bCs w:val="0"/>
                <w:color w:val="auto"/>
                <w:sz w:val="24"/>
                <w:szCs w:val="24"/>
                <w:highlight w:val="none"/>
                <w:lang w:val="en-US" w:eastAsia="zh-CN"/>
              </w:rPr>
              <w:t>款的正式税务发票后，采购人15个工作日内</w:t>
            </w:r>
            <w:r>
              <w:rPr>
                <w:rFonts w:hint="eastAsia" w:ascii="宋体" w:hAnsi="宋体" w:eastAsia="宋体" w:cs="仿宋_GB2312"/>
                <w:color w:val="auto"/>
                <w:sz w:val="24"/>
                <w:szCs w:val="24"/>
                <w:lang w:eastAsia="zh-CN"/>
              </w:rPr>
              <w:t>（寒暑假顺延），</w:t>
            </w:r>
            <w:r>
              <w:rPr>
                <w:rFonts w:hint="eastAsia" w:ascii="宋体" w:hAnsi="宋体" w:eastAsia="宋体" w:cs="宋体"/>
                <w:color w:val="auto"/>
                <w:kern w:val="0"/>
                <w:sz w:val="24"/>
                <w:szCs w:val="24"/>
                <w:lang w:val="en-US" w:eastAsia="zh-CN" w:bidi="ar"/>
              </w:rPr>
              <w:t>采购人</w:t>
            </w:r>
            <w:r>
              <w:rPr>
                <w:rFonts w:hint="eastAsia" w:asciiTheme="minorEastAsia" w:hAnsiTheme="minorEastAsia" w:eastAsiaTheme="minorEastAsia" w:cstheme="minorEastAsia"/>
                <w:b w:val="0"/>
                <w:bCs w:val="0"/>
                <w:color w:val="auto"/>
                <w:sz w:val="24"/>
                <w:szCs w:val="24"/>
                <w:highlight w:val="none"/>
                <w:lang w:val="en-US" w:eastAsia="zh-CN"/>
              </w:rPr>
              <w:t>向</w:t>
            </w:r>
            <w:r>
              <w:rPr>
                <w:rFonts w:hint="eastAsia" w:asciiTheme="minorEastAsia" w:hAnsiTheme="minorEastAsia" w:cstheme="minorEastAsia"/>
                <w:b w:val="0"/>
                <w:bCs w:val="0"/>
                <w:color w:val="auto"/>
                <w:sz w:val="24"/>
                <w:szCs w:val="24"/>
                <w:highlight w:val="none"/>
                <w:lang w:val="en-US" w:eastAsia="zh-CN"/>
              </w:rPr>
              <w:t>中标</w:t>
            </w:r>
            <w:r>
              <w:rPr>
                <w:rFonts w:hint="eastAsia" w:asciiTheme="minorEastAsia" w:hAnsiTheme="minorEastAsia" w:eastAsiaTheme="minorEastAsia" w:cstheme="minorEastAsia"/>
                <w:b w:val="0"/>
                <w:bCs w:val="0"/>
                <w:color w:val="auto"/>
                <w:sz w:val="24"/>
                <w:szCs w:val="24"/>
                <w:highlight w:val="none"/>
                <w:lang w:val="en-US" w:eastAsia="zh-CN"/>
              </w:rPr>
              <w:t>人支付合同总价的50%</w:t>
            </w:r>
            <w:r>
              <w:rPr>
                <w:rFonts w:hint="eastAsia" w:asciiTheme="minorEastAsia" w:hAnsiTheme="minorEastAsia" w:cstheme="minorEastAsia"/>
                <w:b w:val="0"/>
                <w:bCs w:val="0"/>
                <w:color w:val="auto"/>
                <w:sz w:val="24"/>
                <w:szCs w:val="24"/>
                <w:highlight w:val="none"/>
                <w:lang w:val="en-US"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93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center"/>
              <w:textAlignment w:val="auto"/>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w:t>
            </w:r>
          </w:p>
        </w:tc>
        <w:tc>
          <w:tcPr>
            <w:tcW w:w="193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center"/>
              <w:textAlignment w:val="auto"/>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50</w:t>
            </w:r>
          </w:p>
        </w:tc>
        <w:tc>
          <w:tcPr>
            <w:tcW w:w="579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验收合格后十五个工作日内</w:t>
            </w:r>
            <w:r>
              <w:rPr>
                <w:rFonts w:hint="eastAsia" w:ascii="宋体" w:hAnsi="宋体" w:eastAsia="宋体" w:cs="仿宋_GB2312"/>
                <w:color w:val="auto"/>
                <w:sz w:val="24"/>
                <w:szCs w:val="24"/>
                <w:lang w:eastAsia="zh-CN"/>
              </w:rPr>
              <w:t>（寒暑假顺延）</w:t>
            </w:r>
            <w:r>
              <w:rPr>
                <w:rFonts w:hint="eastAsia" w:ascii="宋体" w:hAnsi="宋体" w:eastAsia="宋体" w:cs="宋体"/>
                <w:color w:val="auto"/>
                <w:kern w:val="0"/>
                <w:sz w:val="24"/>
                <w:szCs w:val="24"/>
                <w:lang w:val="en-US" w:eastAsia="zh-CN" w:bidi="ar"/>
              </w:rPr>
              <w:t>，采购人向中标人支付合同总价的50%</w:t>
            </w:r>
          </w:p>
        </w:tc>
      </w:tr>
    </w:tbl>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shd w:val="clear" w:fill="FFFFFF"/>
        </w:rPr>
        <w:t>8、签订合同日期：中标通知书发出后(30)天内</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Style w:val="14"/>
          <w:rFonts w:hint="eastAsia" w:ascii="宋体" w:hAnsi="宋体" w:eastAsia="宋体" w:cs="宋体"/>
          <w:b/>
          <w:bCs/>
          <w:i w:val="0"/>
          <w:iCs w:val="0"/>
          <w:caps w:val="0"/>
          <w:color w:val="auto"/>
          <w:spacing w:val="0"/>
          <w:sz w:val="24"/>
          <w:szCs w:val="24"/>
          <w:shd w:val="clear" w:fill="FFFFFF"/>
        </w:rPr>
        <w:t>9、样品要求</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9.1样品递交地点：</w:t>
      </w:r>
      <w:r>
        <w:rPr>
          <w:rFonts w:hint="eastAsia" w:ascii="宋体" w:hAnsi="宋体" w:eastAsia="宋体" w:cs="宋体"/>
          <w:color w:val="auto"/>
          <w:kern w:val="0"/>
          <w:sz w:val="24"/>
          <w:szCs w:val="24"/>
          <w:shd w:val="clear" w:fill="FFFFFF"/>
          <w:lang w:val="en-US" w:eastAsia="zh-CN" w:bidi="ar"/>
        </w:rPr>
        <w:t>福建省南平市武夷山市武夷山市迎宾路2号皇城大厦左侧五楼</w:t>
      </w:r>
      <w:r>
        <w:rPr>
          <w:rFonts w:hint="eastAsia" w:ascii="宋体" w:hAnsi="宋体" w:eastAsia="宋体" w:cs="宋体"/>
          <w:i w:val="0"/>
          <w:iCs w:val="0"/>
          <w:caps w:val="0"/>
          <w:color w:val="auto"/>
          <w:spacing w:val="0"/>
          <w:sz w:val="24"/>
          <w:szCs w:val="24"/>
          <w:shd w:val="clear" w:fill="FFFFFF"/>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9.2样品递交时间：投标人的样品须在投标文件递交截止时间前一个</w:t>
      </w:r>
      <w:r>
        <w:rPr>
          <w:rFonts w:hint="eastAsia" w:ascii="宋体" w:hAnsi="宋体" w:eastAsia="宋体" w:cs="宋体"/>
          <w:i w:val="0"/>
          <w:iCs w:val="0"/>
          <w:caps w:val="0"/>
          <w:color w:val="auto"/>
          <w:spacing w:val="0"/>
          <w:sz w:val="24"/>
          <w:szCs w:val="24"/>
          <w:highlight w:val="none"/>
          <w:shd w:val="clear" w:fill="FFFFFF"/>
        </w:rPr>
        <w:t>工作日</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shd w:val="clear" w:fill="FFFFFF"/>
          <w:vertAlign w:val="baseline"/>
        </w:rPr>
        <w:t>上午8:30至12:00，下午14:30至17:30</w:t>
      </w:r>
      <w:r>
        <w:rPr>
          <w:rFonts w:hint="eastAsia" w:ascii="宋体" w:hAnsi="宋体" w:eastAsia="宋体" w:cs="宋体"/>
          <w:i w:val="0"/>
          <w:iCs w:val="0"/>
          <w:caps w:val="0"/>
          <w:color w:val="auto"/>
          <w:spacing w:val="0"/>
          <w:sz w:val="24"/>
          <w:szCs w:val="24"/>
          <w:highlight w:val="none"/>
          <w:shd w:val="clear" w:fill="FFFFFF"/>
        </w:rPr>
        <w:t>前</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shd w:val="clear" w:fill="FFFFFF"/>
        </w:rPr>
        <w:t>送到招标代 理指 定地点，样品须按顺序摆放整齐，超过时间送达的样品将被拒绝受理。样品和包装均不得标明投标人名 称及货物品 牌，（样品由采购单位监督人员进行随机编号。样品视为投标文件组成部份，未提供或提供的样品不符合招标文件要求的按无效标处理。在项目评审过程中，评标委员会可视情况采取破坏性检验，由此可能造成的损坏由投标人自行承担。）</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rPr>
          <w:rFonts w:hint="eastAsia" w:ascii="宋体" w:hAnsi="宋体" w:eastAsia="宋体" w:cs="宋体"/>
          <w:color w:val="auto"/>
          <w:sz w:val="24"/>
          <w:szCs w:val="24"/>
        </w:rPr>
      </w:pPr>
      <w:r>
        <w:rPr>
          <w:rStyle w:val="14"/>
          <w:rFonts w:hint="eastAsia" w:ascii="宋体" w:hAnsi="宋体" w:eastAsia="宋体" w:cs="宋体"/>
          <w:b/>
          <w:bCs/>
          <w:i w:val="0"/>
          <w:iCs w:val="0"/>
          <w:caps w:val="0"/>
          <w:color w:val="auto"/>
          <w:spacing w:val="0"/>
          <w:sz w:val="24"/>
          <w:szCs w:val="24"/>
          <w:shd w:val="clear" w:fill="FFFFFF"/>
        </w:rPr>
        <w:t>9.3样品清单：</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rPr>
          <w:rStyle w:val="14"/>
          <w:rFonts w:hint="eastAsia" w:ascii="宋体" w:hAnsi="宋体" w:eastAsia="宋体" w:cs="宋体"/>
          <w:b/>
          <w:bCs/>
          <w:i w:val="0"/>
          <w:iCs w:val="0"/>
          <w:caps w:val="0"/>
          <w:color w:val="auto"/>
          <w:spacing w:val="0"/>
          <w:sz w:val="24"/>
          <w:szCs w:val="24"/>
          <w:shd w:val="clear" w:fill="FFFFFF"/>
        </w:rPr>
      </w:pPr>
      <w:r>
        <w:rPr>
          <w:rStyle w:val="14"/>
          <w:rFonts w:hint="eastAsia" w:ascii="宋体" w:hAnsi="宋体" w:eastAsia="宋体" w:cs="宋体"/>
          <w:b/>
          <w:bCs/>
          <w:i w:val="0"/>
          <w:iCs w:val="0"/>
          <w:caps w:val="0"/>
          <w:color w:val="auto"/>
          <w:spacing w:val="0"/>
          <w:sz w:val="24"/>
          <w:szCs w:val="24"/>
          <w:shd w:val="clear" w:fill="FFFFFF"/>
        </w:rPr>
        <w:t>9.3.1.提供发变组故障录波仪样品</w:t>
      </w:r>
      <w:r>
        <w:rPr>
          <w:rStyle w:val="14"/>
          <w:rFonts w:hint="eastAsia" w:ascii="宋体" w:hAnsi="宋体" w:eastAsia="宋体" w:cs="宋体"/>
          <w:b/>
          <w:bCs/>
          <w:i w:val="0"/>
          <w:iCs w:val="0"/>
          <w:caps w:val="0"/>
          <w:color w:val="auto"/>
          <w:spacing w:val="0"/>
          <w:sz w:val="24"/>
          <w:szCs w:val="24"/>
          <w:highlight w:val="none"/>
          <w:shd w:val="clear" w:fill="FFFFFF"/>
        </w:rPr>
        <w:t>一</w:t>
      </w:r>
      <w:r>
        <w:rPr>
          <w:rStyle w:val="14"/>
          <w:rFonts w:hint="eastAsia" w:ascii="宋体" w:hAnsi="宋体" w:eastAsia="宋体" w:cs="宋体"/>
          <w:b/>
          <w:bCs/>
          <w:i w:val="0"/>
          <w:iCs w:val="0"/>
          <w:caps w:val="0"/>
          <w:color w:val="auto"/>
          <w:spacing w:val="0"/>
          <w:sz w:val="24"/>
          <w:szCs w:val="24"/>
          <w:highlight w:val="none"/>
          <w:shd w:val="clear" w:fill="FFFFFF"/>
          <w:lang w:eastAsia="zh-CN"/>
        </w:rPr>
        <w:t>台</w:t>
      </w:r>
      <w:r>
        <w:rPr>
          <w:rStyle w:val="14"/>
          <w:rFonts w:hint="eastAsia" w:ascii="宋体" w:hAnsi="宋体" w:eastAsia="宋体" w:cs="宋体"/>
          <w:b/>
          <w:bCs/>
          <w:i w:val="0"/>
          <w:iCs w:val="0"/>
          <w:caps w:val="0"/>
          <w:color w:val="auto"/>
          <w:spacing w:val="0"/>
          <w:sz w:val="24"/>
          <w:szCs w:val="24"/>
          <w:shd w:val="clear" w:fill="FFFFFF"/>
        </w:rPr>
        <w:t>（具体参数详见序号</w:t>
      </w:r>
      <w:r>
        <w:rPr>
          <w:rStyle w:val="14"/>
          <w:rFonts w:hint="eastAsia" w:ascii="宋体" w:hAnsi="宋体" w:eastAsia="宋体" w:cs="宋体"/>
          <w:b/>
          <w:bCs/>
          <w:i w:val="0"/>
          <w:iCs w:val="0"/>
          <w:caps w:val="0"/>
          <w:color w:val="auto"/>
          <w:spacing w:val="0"/>
          <w:sz w:val="24"/>
          <w:szCs w:val="24"/>
          <w:shd w:val="clear" w:fill="FFFFFF"/>
          <w:lang w:val="en-US" w:eastAsia="zh-CN"/>
        </w:rPr>
        <w:t>7“</w:t>
      </w:r>
      <w:r>
        <w:rPr>
          <w:rStyle w:val="14"/>
          <w:rFonts w:hint="eastAsia" w:ascii="宋体" w:hAnsi="宋体" w:eastAsia="宋体" w:cs="宋体"/>
          <w:b/>
          <w:bCs/>
          <w:i w:val="0"/>
          <w:iCs w:val="0"/>
          <w:caps w:val="0"/>
          <w:color w:val="auto"/>
          <w:spacing w:val="0"/>
          <w:sz w:val="24"/>
          <w:szCs w:val="24"/>
          <w:shd w:val="clear" w:fill="FFFFFF"/>
        </w:rPr>
        <w:t>电力系统动态模拟实验系统</w:t>
      </w:r>
      <w:r>
        <w:rPr>
          <w:rStyle w:val="14"/>
          <w:rFonts w:hint="eastAsia" w:ascii="宋体" w:hAnsi="宋体" w:eastAsia="宋体" w:cs="宋体"/>
          <w:b/>
          <w:bCs/>
          <w:i w:val="0"/>
          <w:iCs w:val="0"/>
          <w:caps w:val="0"/>
          <w:color w:val="auto"/>
          <w:spacing w:val="0"/>
          <w:sz w:val="24"/>
          <w:szCs w:val="24"/>
          <w:shd w:val="clear" w:fill="FFFFFF"/>
          <w:lang w:eastAsia="zh-CN"/>
        </w:rPr>
        <w:t>”</w:t>
      </w:r>
      <w:r>
        <w:rPr>
          <w:rStyle w:val="14"/>
          <w:rFonts w:hint="eastAsia" w:ascii="宋体" w:hAnsi="宋体" w:eastAsia="宋体" w:cs="宋体"/>
          <w:b/>
          <w:bCs/>
          <w:i w:val="0"/>
          <w:iCs w:val="0"/>
          <w:caps w:val="0"/>
          <w:color w:val="auto"/>
          <w:spacing w:val="0"/>
          <w:sz w:val="24"/>
          <w:szCs w:val="24"/>
          <w:shd w:val="clear" w:fill="FFFFFF"/>
          <w:lang w:val="en-US" w:eastAsia="zh-CN"/>
        </w:rPr>
        <w:t>中的“</w:t>
      </w:r>
      <w:r>
        <w:rPr>
          <w:rStyle w:val="14"/>
          <w:rFonts w:hint="eastAsia" w:ascii="宋体" w:hAnsi="宋体" w:eastAsia="宋体" w:cs="宋体"/>
          <w:b/>
          <w:bCs/>
          <w:i w:val="0"/>
          <w:iCs w:val="0"/>
          <w:caps w:val="0"/>
          <w:color w:val="auto"/>
          <w:spacing w:val="0"/>
          <w:sz w:val="24"/>
          <w:szCs w:val="24"/>
          <w:shd w:val="clear" w:fill="FFFFFF"/>
        </w:rPr>
        <w:t>20、发变组故障录波仪</w:t>
      </w:r>
      <w:r>
        <w:rPr>
          <w:rStyle w:val="14"/>
          <w:rFonts w:hint="eastAsia" w:ascii="宋体" w:hAnsi="宋体" w:eastAsia="宋体" w:cs="宋体"/>
          <w:b/>
          <w:bCs/>
          <w:i w:val="0"/>
          <w:iCs w:val="0"/>
          <w:caps w:val="0"/>
          <w:color w:val="auto"/>
          <w:spacing w:val="0"/>
          <w:sz w:val="24"/>
          <w:szCs w:val="24"/>
          <w:shd w:val="clear" w:fill="FFFFFF"/>
          <w:lang w:eastAsia="zh-CN"/>
        </w:rPr>
        <w:t>”</w:t>
      </w:r>
      <w:r>
        <w:rPr>
          <w:rStyle w:val="14"/>
          <w:rFonts w:hint="eastAsia" w:ascii="宋体" w:hAnsi="宋体" w:eastAsia="宋体" w:cs="宋体"/>
          <w:b/>
          <w:bCs/>
          <w:i w:val="0"/>
          <w:iCs w:val="0"/>
          <w:caps w:val="0"/>
          <w:color w:val="auto"/>
          <w:spacing w:val="0"/>
          <w:sz w:val="24"/>
          <w:szCs w:val="24"/>
          <w:shd w:val="clear" w:fill="FFFFFF"/>
        </w:rPr>
        <w:t>）</w:t>
      </w:r>
    </w:p>
    <w:p>
      <w:pPr>
        <w:ind w:firstLine="482" w:firstLineChars="200"/>
        <w:rPr>
          <w:rStyle w:val="14"/>
          <w:rFonts w:hint="eastAsia" w:ascii="宋体" w:hAnsi="宋体" w:eastAsia="宋体" w:cs="宋体"/>
          <w:bCs/>
          <w:i w:val="0"/>
          <w:iCs w:val="0"/>
          <w:caps w:val="0"/>
          <w:color w:val="auto"/>
          <w:spacing w:val="0"/>
          <w:kern w:val="0"/>
          <w:sz w:val="24"/>
          <w:szCs w:val="24"/>
          <w:shd w:val="clear" w:fill="FFFFFF"/>
          <w:lang w:val="en-US" w:eastAsia="zh-CN" w:bidi="ar"/>
        </w:rPr>
      </w:pPr>
      <w:r>
        <w:rPr>
          <w:rStyle w:val="14"/>
          <w:rFonts w:hint="eastAsia" w:ascii="宋体" w:hAnsi="宋体" w:eastAsia="宋体" w:cs="宋体"/>
          <w:b/>
          <w:bCs/>
          <w:i w:val="0"/>
          <w:iCs w:val="0"/>
          <w:caps w:val="0"/>
          <w:color w:val="auto"/>
          <w:spacing w:val="0"/>
          <w:sz w:val="24"/>
          <w:szCs w:val="24"/>
          <w:shd w:val="clear" w:fill="FFFFFF"/>
        </w:rPr>
        <w:t>9.3.2.提供</w:t>
      </w:r>
      <w:r>
        <w:rPr>
          <w:rStyle w:val="14"/>
          <w:rFonts w:hint="eastAsia" w:ascii="宋体" w:hAnsi="宋体" w:eastAsia="宋体" w:cs="宋体"/>
          <w:bCs/>
          <w:i w:val="0"/>
          <w:iCs w:val="0"/>
          <w:caps w:val="0"/>
          <w:color w:val="auto"/>
          <w:spacing w:val="0"/>
          <w:kern w:val="0"/>
          <w:sz w:val="24"/>
          <w:szCs w:val="24"/>
          <w:shd w:val="clear" w:fill="FFFFFF"/>
          <w:lang w:val="en-US" w:eastAsia="zh-CN" w:bidi="ar"/>
        </w:rPr>
        <w:t>霍尔效应实验组合仪样品一台（具体参数详见序号9“霍尔效应实验组合仪”）</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9.4样品退还安排：</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9.4.1.评标结束后，中标人的样品由福建景鑫招标有限公司封样，待公示期结束后送至采购</w:t>
      </w:r>
      <w:r>
        <w:rPr>
          <w:rFonts w:hint="eastAsia" w:ascii="宋体" w:hAnsi="宋体" w:eastAsia="宋体" w:cs="宋体"/>
          <w:i w:val="0"/>
          <w:iCs w:val="0"/>
          <w:caps w:val="0"/>
          <w:color w:val="auto"/>
          <w:spacing w:val="0"/>
          <w:sz w:val="24"/>
          <w:szCs w:val="24"/>
          <w:highlight w:val="none"/>
          <w:shd w:val="clear" w:fill="FFFFFF"/>
          <w:lang w:val="en-US" w:eastAsia="zh-CN"/>
        </w:rPr>
        <w:t>人</w:t>
      </w:r>
      <w:r>
        <w:rPr>
          <w:rFonts w:hint="eastAsia" w:ascii="宋体" w:hAnsi="宋体" w:eastAsia="宋体" w:cs="宋体"/>
          <w:i w:val="0"/>
          <w:iCs w:val="0"/>
          <w:caps w:val="0"/>
          <w:color w:val="auto"/>
          <w:spacing w:val="0"/>
          <w:sz w:val="24"/>
          <w:szCs w:val="24"/>
          <w:highlight w:val="none"/>
          <w:shd w:val="clear" w:fill="FFFFFF"/>
        </w:rPr>
        <w:t>处，供货产品与样品必须一致，样品做为验收的依据，待所有中标产品交货并经验收合格后，由</w:t>
      </w:r>
      <w:r>
        <w:rPr>
          <w:rFonts w:hint="eastAsia" w:ascii="宋体" w:hAnsi="宋体" w:eastAsia="宋体" w:cs="宋体"/>
          <w:i w:val="0"/>
          <w:iCs w:val="0"/>
          <w:caps w:val="0"/>
          <w:color w:val="auto"/>
          <w:spacing w:val="0"/>
          <w:sz w:val="24"/>
          <w:szCs w:val="24"/>
          <w:highlight w:val="none"/>
          <w:shd w:val="clear" w:fill="FFFFFF"/>
          <w:lang w:val="en-US" w:eastAsia="zh-CN"/>
        </w:rPr>
        <w:t>采购人</w:t>
      </w:r>
      <w:r>
        <w:rPr>
          <w:rFonts w:hint="eastAsia" w:ascii="宋体" w:hAnsi="宋体" w:eastAsia="宋体" w:cs="宋体"/>
          <w:i w:val="0"/>
          <w:iCs w:val="0"/>
          <w:caps w:val="0"/>
          <w:color w:val="auto"/>
          <w:spacing w:val="0"/>
          <w:sz w:val="24"/>
          <w:szCs w:val="24"/>
          <w:highlight w:val="none"/>
          <w:shd w:val="clear" w:fill="FFFFFF"/>
        </w:rPr>
        <w:t>负责将样品退还中标人。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9.4.2.未中标的投标人的样品退还工作在接到福建景鑫招标有限公司通知后当天退完，投标人应及时派工作人员前来领取，过期不予保管，招标公司对因此造成的设备损坏或遗失不负任何责任。</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FF0000"/>
          <w:sz w:val="24"/>
          <w:szCs w:val="24"/>
        </w:rPr>
      </w:pPr>
      <w:r>
        <w:rPr>
          <w:rFonts w:hint="eastAsia" w:ascii="宋体" w:hAnsi="宋体" w:eastAsia="宋体" w:cs="宋体"/>
          <w:i w:val="0"/>
          <w:iCs w:val="0"/>
          <w:caps w:val="0"/>
          <w:color w:val="auto"/>
          <w:spacing w:val="0"/>
          <w:sz w:val="24"/>
          <w:szCs w:val="24"/>
          <w:shd w:val="clear" w:fill="FFFFFF"/>
        </w:rPr>
        <w:t>9.4.3.若中标人所提供实物与样品不符则采购人可要求退货，采购人可按合同规定向中标人进行索赔或将暂停使用中标人提供的货物直至中标人重新提供与样品相符的货物。</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10、安装调试</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10.1货物由中标人负责设备的现场安装和调试，收到采购人安装仪器通知后，在10个工作日之内，生产厂家安排安装工程师前往现场免费安装调试仪器，直至采购人验收合格；安装调试须符合我国国家有关技术规范和技术标准。</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10.2中标人在进行安装期间所发生的费用均包含在合同总价中，采购人不再另行支付额外费用。</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10.3中标人安装结束后应在规定的交付使用时间之前将废物移离现场，清理妥当，费用由中标人负责。</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Style w:val="14"/>
          <w:rFonts w:hint="eastAsia" w:ascii="宋体" w:hAnsi="宋体" w:eastAsia="宋体" w:cs="宋体"/>
          <w:b/>
          <w:bCs/>
          <w:color w:val="auto"/>
          <w:sz w:val="24"/>
          <w:szCs w:val="24"/>
        </w:rPr>
        <w:t>11、验收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w:t>
      </w:r>
      <w:r>
        <w:rPr>
          <w:rFonts w:hint="eastAsia" w:ascii="宋体" w:hAnsi="宋体" w:eastAsia="宋体" w:cs="仿宋_GB2312"/>
          <w:sz w:val="24"/>
          <w:szCs w:val="24"/>
        </w:rPr>
        <w:t>根据招标文件及投标文件响应情况由</w:t>
      </w:r>
      <w:r>
        <w:rPr>
          <w:rFonts w:hint="eastAsia" w:ascii="宋体" w:hAnsi="宋体" w:eastAsia="宋体" w:cs="仿宋_GB2312"/>
          <w:sz w:val="24"/>
          <w:szCs w:val="24"/>
          <w:lang w:eastAsia="zh-CN"/>
        </w:rPr>
        <w:t>采购人</w:t>
      </w:r>
      <w:r>
        <w:rPr>
          <w:rFonts w:hint="eastAsia" w:ascii="宋体" w:hAnsi="宋体" w:eastAsia="宋体" w:cs="仿宋_GB2312"/>
          <w:sz w:val="24"/>
          <w:szCs w:val="24"/>
        </w:rPr>
        <w:t>组织验收。最终用户负责货物清点和验收。验收应在货物安装调试完成后十个工作日内验收完毕。如发现物资设备与合同规定不符，采购方有权拒绝接受并向</w:t>
      </w:r>
      <w:r>
        <w:rPr>
          <w:rFonts w:hint="eastAsia" w:ascii="宋体" w:hAnsi="宋体" w:eastAsia="宋体" w:cs="仿宋_GB2312"/>
          <w:sz w:val="24"/>
          <w:szCs w:val="24"/>
          <w:lang w:eastAsia="zh-CN"/>
        </w:rPr>
        <w:t>中标人</w:t>
      </w:r>
      <w:r>
        <w:rPr>
          <w:rFonts w:hint="eastAsia" w:ascii="宋体" w:hAnsi="宋体" w:eastAsia="宋体" w:cs="仿宋_GB2312"/>
          <w:sz w:val="24"/>
          <w:szCs w:val="24"/>
        </w:rPr>
        <w:t>提出索赔。如货物在保证期内被证明存在缺陷，包括潜在的缺陷或使用不合适的材料，采购</w:t>
      </w:r>
      <w:r>
        <w:rPr>
          <w:rFonts w:hint="eastAsia" w:ascii="宋体" w:hAnsi="宋体" w:eastAsia="宋体" w:cs="仿宋_GB2312"/>
          <w:sz w:val="24"/>
          <w:szCs w:val="24"/>
          <w:lang w:eastAsia="zh-CN"/>
        </w:rPr>
        <w:t>人</w:t>
      </w:r>
      <w:r>
        <w:rPr>
          <w:rFonts w:hint="eastAsia" w:ascii="宋体" w:hAnsi="宋体" w:eastAsia="宋体" w:cs="仿宋_GB2312"/>
          <w:sz w:val="24"/>
          <w:szCs w:val="24"/>
        </w:rPr>
        <w:t>有权凭有关证明文件向</w:t>
      </w:r>
      <w:r>
        <w:rPr>
          <w:rFonts w:hint="eastAsia" w:ascii="宋体" w:hAnsi="宋体" w:eastAsia="宋体" w:cs="仿宋_GB2312"/>
          <w:sz w:val="24"/>
          <w:szCs w:val="24"/>
          <w:lang w:eastAsia="zh-CN"/>
        </w:rPr>
        <w:t>中标人</w:t>
      </w:r>
      <w:r>
        <w:rPr>
          <w:rFonts w:hint="eastAsia" w:ascii="宋体" w:hAnsi="宋体" w:eastAsia="宋体" w:cs="仿宋_GB2312"/>
          <w:sz w:val="24"/>
          <w:szCs w:val="24"/>
        </w:rPr>
        <w:t>提出索赔。</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11.2现场进行最终验收所发生的一切费用均由中标人承担且已含在报价总价中</w:t>
      </w:r>
      <w:r>
        <w:rPr>
          <w:rFonts w:hint="eastAsia" w:ascii="宋体" w:hAnsi="宋体" w:eastAsia="宋体" w:cs="宋体"/>
          <w:color w:val="auto"/>
          <w:sz w:val="24"/>
          <w:szCs w:val="24"/>
          <w:shd w:val="clear" w:fill="FFFFFF"/>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Style w:val="14"/>
          <w:rFonts w:hint="eastAsia" w:ascii="宋体" w:hAnsi="宋体" w:eastAsia="宋体" w:cs="宋体"/>
          <w:b/>
          <w:bCs/>
          <w:color w:val="auto"/>
          <w:sz w:val="24"/>
          <w:szCs w:val="24"/>
        </w:rPr>
        <w:t>12、售 后服务</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480" w:firstLineChars="200"/>
        <w:textAlignment w:val="auto"/>
        <w:rPr>
          <w:rFonts w:hint="eastAsia" w:ascii="宋体" w:hAnsi="宋体" w:eastAsia="宋体" w:cs="宋体"/>
          <w:szCs w:val="24"/>
        </w:rPr>
      </w:pPr>
      <w:r>
        <w:rPr>
          <w:rFonts w:hint="eastAsia" w:ascii="宋体" w:hAnsi="宋体" w:eastAsia="宋体" w:cs="宋体"/>
          <w:szCs w:val="24"/>
          <w:lang w:val="en-US" w:eastAsia="zh-CN"/>
        </w:rPr>
        <w:t>12.1</w:t>
      </w:r>
      <w:r>
        <w:rPr>
          <w:rFonts w:hint="eastAsia" w:ascii="宋体" w:hAnsi="宋体" w:eastAsia="宋体" w:cs="宋体"/>
          <w:szCs w:val="24"/>
        </w:rPr>
        <w:t>质保期：货物正式验收合格后的质量保证期，</w:t>
      </w:r>
      <w:r>
        <w:rPr>
          <w:rFonts w:hint="eastAsia" w:ascii="宋体" w:hAnsi="宋体" w:eastAsia="宋体" w:cs="宋体"/>
          <w:szCs w:val="24"/>
          <w:lang w:val="en-US" w:eastAsia="zh-CN"/>
        </w:rPr>
        <w:t>采购</w:t>
      </w:r>
      <w:r>
        <w:rPr>
          <w:rFonts w:hint="eastAsia" w:ascii="宋体" w:hAnsi="宋体" w:eastAsia="宋体" w:cs="宋体"/>
          <w:szCs w:val="24"/>
        </w:rPr>
        <w:t>包中的产品提供原厂商的售后服务，保修期不得低于三年（上门），终身维护。</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480" w:firstLineChars="200"/>
        <w:textAlignment w:val="auto"/>
        <w:rPr>
          <w:rFonts w:hint="eastAsia" w:ascii="宋体" w:hAnsi="宋体" w:eastAsia="宋体" w:cs="宋体"/>
          <w:szCs w:val="24"/>
        </w:rPr>
      </w:pPr>
      <w:r>
        <w:rPr>
          <w:rFonts w:hint="eastAsia" w:ascii="宋体" w:hAnsi="宋体" w:eastAsia="宋体" w:cs="宋体"/>
          <w:szCs w:val="24"/>
          <w:lang w:val="en-US" w:eastAsia="zh-CN"/>
        </w:rPr>
        <w:t>12.2</w:t>
      </w:r>
      <w:r>
        <w:rPr>
          <w:rFonts w:hint="eastAsia" w:ascii="宋体" w:hAnsi="宋体" w:eastAsia="宋体" w:cs="宋体"/>
          <w:szCs w:val="24"/>
        </w:rPr>
        <w:t>质保期内：</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480" w:firstLineChars="200"/>
        <w:textAlignment w:val="auto"/>
        <w:rPr>
          <w:rFonts w:hint="eastAsia" w:ascii="宋体" w:hAnsi="宋体" w:eastAsia="宋体" w:cs="宋体"/>
          <w:bCs/>
          <w:szCs w:val="24"/>
        </w:rPr>
      </w:pPr>
      <w:r>
        <w:rPr>
          <w:rFonts w:hint="eastAsia" w:ascii="宋体" w:hAnsi="宋体" w:eastAsia="宋体" w:cs="宋体"/>
          <w:szCs w:val="24"/>
        </w:rPr>
        <w:t>（1）免费质量保修期内设备一旦出现</w:t>
      </w:r>
      <w:r>
        <w:rPr>
          <w:rFonts w:hint="eastAsia" w:ascii="宋体" w:hAnsi="宋体" w:eastAsia="宋体" w:cs="宋体"/>
          <w:bCs/>
          <w:szCs w:val="24"/>
        </w:rPr>
        <w:t>故障，中标人响应时间不超过4小时，检修人员应在72小时内到达系统故障地点排除故障，其费用由中标人承担。在免费质量保修期内如出现故障，中标人应免费提供咨询、维修服务。中标人每学期应上门对设备做全方位检查服务。</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480" w:firstLineChars="200"/>
        <w:textAlignment w:val="auto"/>
        <w:rPr>
          <w:rFonts w:hint="eastAsia" w:ascii="宋体" w:hAnsi="宋体" w:eastAsia="宋体" w:cs="宋体"/>
          <w:bCs/>
          <w:szCs w:val="24"/>
        </w:rPr>
      </w:pPr>
      <w:r>
        <w:rPr>
          <w:rFonts w:hint="eastAsia" w:ascii="宋体" w:hAnsi="宋体" w:eastAsia="宋体" w:cs="宋体"/>
          <w:bCs/>
          <w:szCs w:val="24"/>
        </w:rPr>
        <w:t>（2）如保修期内同一故障发生三次，或在两个月内无法修复，中标人无条件换货。如因中标人未能无条件换货造成采购人无法正常使用的，采购人有权退还全部货物并要求中标人退还全部已付货款。</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480" w:firstLineChars="200"/>
        <w:textAlignment w:val="auto"/>
        <w:rPr>
          <w:rFonts w:hint="eastAsia" w:ascii="宋体" w:hAnsi="宋体" w:eastAsia="宋体" w:cs="宋体"/>
          <w:szCs w:val="24"/>
        </w:rPr>
      </w:pPr>
      <w:r>
        <w:rPr>
          <w:rFonts w:hint="eastAsia" w:ascii="宋体" w:hAnsi="宋体" w:eastAsia="宋体" w:cs="宋体"/>
          <w:szCs w:val="24"/>
          <w:lang w:val="en-US" w:eastAsia="zh-CN"/>
        </w:rPr>
        <w:t>12.3</w:t>
      </w:r>
      <w:r>
        <w:rPr>
          <w:rFonts w:hint="eastAsia" w:ascii="宋体" w:hAnsi="宋体" w:eastAsia="宋体" w:cs="宋体"/>
          <w:szCs w:val="24"/>
        </w:rPr>
        <w:t>质保期后：免费质量保修期结束后，中标人对设备提供终身维护服务。中标人提供的有偿服务条件应不低于免费质量保修期内提供的服务优惠条件，并提供维修所需的零配件；系统一旦出现故障，中标人响应时间不超过4小时，并在72小时内到达</w:t>
      </w:r>
      <w:r>
        <w:rPr>
          <w:rFonts w:hint="eastAsia" w:ascii="宋体" w:hAnsi="宋体" w:eastAsia="宋体" w:cs="宋体"/>
          <w:bCs/>
          <w:szCs w:val="24"/>
        </w:rPr>
        <w:t>系统故障地点排除故障</w:t>
      </w:r>
      <w:r>
        <w:rPr>
          <w:rFonts w:hint="eastAsia" w:ascii="宋体" w:hAnsi="宋体" w:eastAsia="宋体" w:cs="宋体"/>
          <w:szCs w:val="24"/>
        </w:rPr>
        <w:t>。不收取上门服务费，且只收取更换的零配件成本费。</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480" w:firstLineChars="200"/>
        <w:textAlignment w:val="auto"/>
        <w:rPr>
          <w:rFonts w:hint="eastAsia" w:ascii="宋体" w:hAnsi="宋体" w:eastAsia="宋体" w:cs="宋体"/>
          <w:szCs w:val="24"/>
        </w:rPr>
      </w:pPr>
      <w:r>
        <w:rPr>
          <w:rFonts w:hint="eastAsia" w:ascii="宋体" w:hAnsi="宋体" w:eastAsia="宋体" w:cs="宋体"/>
          <w:szCs w:val="24"/>
          <w:lang w:val="en-US" w:eastAsia="zh-CN"/>
        </w:rPr>
        <w:t>12.4</w:t>
      </w:r>
      <w:r>
        <w:rPr>
          <w:rFonts w:hint="eastAsia" w:ascii="宋体" w:hAnsi="宋体" w:eastAsia="宋体" w:cs="宋体"/>
          <w:szCs w:val="24"/>
        </w:rPr>
        <w:t>培训服务要求：根据投标货物特点及技术要求中标人对采购方的技术、管理人员进行有关设备使用操作、设备维修、故障排除、保养等方面进行现场技术培训，直至使受训人员能熟练独立操作。现场培训由中标人负责在设备安装现场对采购方技术、管理人员组织技术培训。</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80" w:firstLineChars="200"/>
        <w:jc w:val="left"/>
        <w:textAlignment w:val="auto"/>
        <w:rPr>
          <w:rFonts w:hint="eastAsia" w:ascii="宋体" w:hAnsi="宋体" w:eastAsia="宋体" w:cs="宋体"/>
          <w:color w:val="FF0000"/>
          <w:sz w:val="24"/>
          <w:szCs w:val="24"/>
          <w:lang w:val="en-US" w:eastAsia="zh-CN"/>
        </w:rPr>
      </w:pPr>
      <w:r>
        <w:rPr>
          <w:rFonts w:hint="eastAsia" w:ascii="宋体" w:hAnsi="宋体" w:eastAsia="宋体" w:cs="宋体"/>
          <w:szCs w:val="24"/>
          <w:lang w:val="en-US" w:eastAsia="zh-CN"/>
        </w:rPr>
        <w:t>12.5</w:t>
      </w:r>
      <w:r>
        <w:rPr>
          <w:rFonts w:hint="eastAsia" w:ascii="宋体" w:hAnsi="宋体" w:eastAsia="宋体" w:cs="宋体"/>
          <w:szCs w:val="24"/>
        </w:rPr>
        <w:t>其他：本次</w:t>
      </w:r>
      <w:r>
        <w:rPr>
          <w:rFonts w:hint="eastAsia" w:ascii="宋体" w:hAnsi="宋体" w:eastAsia="宋体" w:cs="宋体"/>
          <w:szCs w:val="24"/>
          <w:lang w:val="en-US" w:eastAsia="zh-CN"/>
        </w:rPr>
        <w:t>采购</w:t>
      </w:r>
      <w:r>
        <w:rPr>
          <w:rFonts w:hint="eastAsia" w:ascii="宋体" w:hAnsi="宋体" w:eastAsia="宋体" w:cs="宋体"/>
          <w:szCs w:val="24"/>
        </w:rPr>
        <w:t>产品应为成熟产品，不接受中标后定制开发，中标人应配合使用老师完成配套资源的建设及完善。如采购</w:t>
      </w:r>
      <w:r>
        <w:rPr>
          <w:rFonts w:hint="eastAsia" w:ascii="宋体" w:hAnsi="宋体" w:eastAsia="宋体" w:cs="宋体"/>
          <w:szCs w:val="24"/>
          <w:lang w:val="en-US" w:eastAsia="zh-CN"/>
        </w:rPr>
        <w:t>人</w:t>
      </w:r>
      <w:r>
        <w:rPr>
          <w:rFonts w:hint="eastAsia" w:ascii="宋体" w:hAnsi="宋体" w:eastAsia="宋体" w:cs="宋体"/>
          <w:szCs w:val="24"/>
        </w:rPr>
        <w:t>对投标货物技术指标及性能存在疑问，中标人须配合提交证明材料，包括但不限于设备说明书、设备样品、检测报告等。如发现中标人提供虚假材料，采购</w:t>
      </w:r>
      <w:r>
        <w:rPr>
          <w:rFonts w:hint="eastAsia" w:ascii="宋体" w:hAnsi="宋体" w:eastAsia="宋体" w:cs="宋体"/>
          <w:szCs w:val="24"/>
          <w:lang w:val="en-US" w:eastAsia="zh-CN"/>
        </w:rPr>
        <w:t>人</w:t>
      </w:r>
      <w:r>
        <w:rPr>
          <w:rFonts w:hint="eastAsia" w:ascii="宋体" w:hAnsi="宋体" w:eastAsia="宋体" w:cs="宋体"/>
          <w:szCs w:val="24"/>
        </w:rPr>
        <w:t>有权取消其中标资格，并要求赔偿损失。</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投标人可视自身能力在招标文件中提供更优、更合理的售后 服务承诺。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rPr>
      </w:pPr>
      <w:r>
        <w:rPr>
          <w:rStyle w:val="14"/>
          <w:rFonts w:hint="eastAsia" w:ascii="宋体" w:hAnsi="宋体" w:eastAsia="宋体" w:cs="宋体"/>
          <w:b/>
          <w:bCs/>
          <w:color w:val="auto"/>
          <w:sz w:val="24"/>
          <w:szCs w:val="24"/>
        </w:rPr>
        <w:t>13、违约责任</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480" w:firstLineChars="200"/>
        <w:textAlignment w:val="auto"/>
        <w:rPr>
          <w:rFonts w:hint="eastAsia" w:ascii="宋体" w:hAnsi="宋体" w:eastAsia="宋体" w:cs="宋体"/>
          <w:szCs w:val="24"/>
        </w:rPr>
      </w:pPr>
      <w:r>
        <w:rPr>
          <w:rFonts w:hint="eastAsia" w:ascii="宋体" w:hAnsi="宋体" w:eastAsia="宋体" w:cs="宋体"/>
          <w:szCs w:val="24"/>
          <w:lang w:val="en-US" w:eastAsia="zh-CN"/>
        </w:rPr>
        <w:t>13.1</w:t>
      </w:r>
      <w:r>
        <w:rPr>
          <w:rFonts w:hint="eastAsia" w:ascii="宋体" w:hAnsi="宋体" w:eastAsia="宋体" w:cs="宋体"/>
          <w:szCs w:val="24"/>
        </w:rPr>
        <w:t>由于中标人的原因导致未能按合同规定的时间按时足额交货的（不可抗力除外），在中标人书面同意支付延期交货违约金的条件下，采购</w:t>
      </w:r>
      <w:r>
        <w:rPr>
          <w:rFonts w:hint="eastAsia" w:ascii="宋体" w:hAnsi="宋体" w:eastAsia="宋体" w:cs="宋体"/>
          <w:szCs w:val="24"/>
          <w:lang w:val="en-US" w:eastAsia="zh-CN"/>
        </w:rPr>
        <w:t>人</w:t>
      </w:r>
      <w:r>
        <w:rPr>
          <w:rFonts w:hint="eastAsia" w:ascii="宋体" w:hAnsi="宋体" w:eastAsia="宋体" w:cs="宋体"/>
          <w:szCs w:val="24"/>
        </w:rPr>
        <w:t>有权选择同意延长交货期还是不予延长交货期，采购</w:t>
      </w:r>
      <w:r>
        <w:rPr>
          <w:rFonts w:hint="eastAsia" w:ascii="宋体" w:hAnsi="宋体" w:eastAsia="宋体" w:cs="宋体"/>
          <w:szCs w:val="24"/>
          <w:lang w:val="en-US" w:eastAsia="zh-CN"/>
        </w:rPr>
        <w:t>人</w:t>
      </w:r>
      <w:r>
        <w:rPr>
          <w:rFonts w:hint="eastAsia" w:ascii="宋体" w:hAnsi="宋体" w:eastAsia="宋体" w:cs="宋体"/>
          <w:szCs w:val="24"/>
        </w:rPr>
        <w:t>同意延长交货期的，延期交货的时间由双方另行确定。延期交货违约金的支付采购</w:t>
      </w:r>
      <w:r>
        <w:rPr>
          <w:rFonts w:hint="eastAsia" w:ascii="宋体" w:hAnsi="宋体" w:eastAsia="宋体" w:cs="宋体"/>
          <w:szCs w:val="24"/>
          <w:lang w:val="en-US" w:eastAsia="zh-CN"/>
        </w:rPr>
        <w:t>人</w:t>
      </w:r>
      <w:r>
        <w:rPr>
          <w:rFonts w:hint="eastAsia" w:ascii="宋体" w:hAnsi="宋体" w:eastAsia="宋体" w:cs="宋体"/>
          <w:szCs w:val="24"/>
        </w:rPr>
        <w:t>有权从未付的合同货款中扣除。延期交货违约金比率为每迟交壹天，按迟交货物金额的1‰。但是，延期交货违约金的支付总额不得超过迟交货物部分合同金额的5％。</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480" w:firstLineChars="200"/>
        <w:textAlignment w:val="auto"/>
        <w:rPr>
          <w:rFonts w:hint="eastAsia" w:ascii="宋体" w:hAnsi="宋体" w:eastAsia="宋体" w:cs="宋体"/>
          <w:szCs w:val="24"/>
        </w:rPr>
      </w:pPr>
      <w:r>
        <w:rPr>
          <w:rFonts w:hint="eastAsia" w:ascii="宋体" w:hAnsi="宋体" w:eastAsia="宋体" w:cs="宋体"/>
          <w:szCs w:val="24"/>
          <w:lang w:val="en-US" w:eastAsia="zh-CN"/>
        </w:rPr>
        <w:t>13.2</w:t>
      </w:r>
      <w:r>
        <w:rPr>
          <w:rFonts w:hint="eastAsia" w:ascii="宋体" w:hAnsi="宋体" w:eastAsia="宋体" w:cs="宋体"/>
          <w:szCs w:val="24"/>
        </w:rPr>
        <w:t>由于中标人的原因导致不能交货的（逾期超过20个日历天视为不能交货，因不可抗拒的因素除外）或交货不合格从而影响采购</w:t>
      </w:r>
      <w:r>
        <w:rPr>
          <w:rFonts w:hint="eastAsia" w:ascii="宋体" w:hAnsi="宋体" w:eastAsia="宋体" w:cs="宋体"/>
          <w:szCs w:val="24"/>
          <w:lang w:val="en-US" w:eastAsia="zh-CN"/>
        </w:rPr>
        <w:t>人</w:t>
      </w:r>
      <w:r>
        <w:rPr>
          <w:rFonts w:hint="eastAsia" w:ascii="宋体" w:hAnsi="宋体" w:eastAsia="宋体" w:cs="宋体"/>
          <w:szCs w:val="24"/>
        </w:rPr>
        <w:t>正常使用的，中标人应向采购方偿付不能交货部分货款的20％的违约金。违约金不足以补偿损失的，采购</w:t>
      </w:r>
      <w:r>
        <w:rPr>
          <w:rFonts w:hint="eastAsia" w:ascii="宋体" w:hAnsi="宋体" w:eastAsia="宋体" w:cs="宋体"/>
          <w:szCs w:val="24"/>
          <w:lang w:val="en-US" w:eastAsia="zh-CN"/>
        </w:rPr>
        <w:t>人</w:t>
      </w:r>
      <w:r>
        <w:rPr>
          <w:rFonts w:hint="eastAsia" w:ascii="宋体" w:hAnsi="宋体" w:eastAsia="宋体" w:cs="宋体"/>
          <w:szCs w:val="24"/>
        </w:rPr>
        <w:t>有权要求中标人赔偿损失。</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480" w:firstLineChars="200"/>
        <w:textAlignment w:val="auto"/>
        <w:rPr>
          <w:rFonts w:hint="eastAsia" w:ascii="宋体" w:hAnsi="宋体" w:eastAsia="宋体" w:cs="宋体"/>
          <w:szCs w:val="24"/>
        </w:rPr>
      </w:pPr>
      <w:r>
        <w:rPr>
          <w:rFonts w:hint="eastAsia" w:ascii="宋体" w:hAnsi="宋体" w:eastAsia="宋体" w:cs="宋体"/>
          <w:szCs w:val="24"/>
          <w:lang w:val="en-US" w:eastAsia="zh-CN"/>
        </w:rPr>
        <w:t>13.3</w:t>
      </w:r>
      <w:r>
        <w:rPr>
          <w:rFonts w:hint="eastAsia" w:ascii="宋体" w:hAnsi="宋体" w:eastAsia="宋体" w:cs="宋体"/>
          <w:szCs w:val="24"/>
        </w:rPr>
        <w:t>如果中标人未能按照合同约定的时间提供服务的，每逾期壹天的，中标人应向采购方支付500元违约金，若因此给采购方造成损失的，中标人还应赔偿采购方所受的损失。</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480" w:firstLineChars="200"/>
        <w:textAlignment w:val="auto"/>
        <w:rPr>
          <w:rFonts w:hint="eastAsia" w:ascii="宋体" w:hAnsi="宋体" w:eastAsia="宋体" w:cs="宋体"/>
          <w:szCs w:val="24"/>
        </w:rPr>
      </w:pPr>
      <w:r>
        <w:rPr>
          <w:rFonts w:hint="eastAsia" w:ascii="宋体" w:hAnsi="宋体" w:eastAsia="宋体" w:cs="宋体"/>
          <w:szCs w:val="24"/>
          <w:lang w:val="en-US" w:eastAsia="zh-CN"/>
        </w:rPr>
        <w:t>13.4采购人</w:t>
      </w:r>
      <w:r>
        <w:rPr>
          <w:rFonts w:hint="eastAsia" w:ascii="宋体" w:hAnsi="宋体" w:eastAsia="宋体" w:cs="宋体"/>
          <w:szCs w:val="24"/>
        </w:rPr>
        <w:t>逾期付款的应按照逾期金额的每日1‰支付逾期付款违约金。</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480" w:firstLineChars="200"/>
        <w:textAlignment w:val="auto"/>
        <w:rPr>
          <w:rFonts w:hint="eastAsia" w:ascii="宋体" w:hAnsi="宋体" w:eastAsia="宋体" w:cs="宋体"/>
          <w:szCs w:val="24"/>
        </w:rPr>
      </w:pPr>
      <w:r>
        <w:rPr>
          <w:rFonts w:hint="eastAsia" w:ascii="宋体" w:hAnsi="宋体" w:eastAsia="宋体" w:cs="宋体"/>
          <w:szCs w:val="24"/>
          <w:lang w:val="en-US" w:eastAsia="zh-CN"/>
        </w:rPr>
        <w:t>13.5</w:t>
      </w:r>
      <w:r>
        <w:rPr>
          <w:rFonts w:hint="eastAsia" w:ascii="宋体" w:hAnsi="宋体" w:eastAsia="宋体" w:cs="宋体"/>
          <w:szCs w:val="24"/>
        </w:rPr>
        <w:t>因不可抗力造成违约的可以免责，但违约方须及时提交相关书面报告材料。</w:t>
      </w: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四、其他事项</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 </w:t>
      </w:r>
    </w:p>
    <w:p>
      <w:pPr>
        <w:rPr>
          <w:rStyle w:val="14"/>
          <w:rFonts w:hint="eastAsia" w:ascii="宋体" w:hAnsi="宋体" w:eastAsia="宋体" w:cs="宋体"/>
          <w:b/>
          <w:bCs/>
          <w:color w:val="auto"/>
          <w:spacing w:val="0"/>
          <w:sz w:val="24"/>
          <w:szCs w:val="24"/>
        </w:rPr>
      </w:pPr>
      <w:r>
        <w:rPr>
          <w:rStyle w:val="14"/>
          <w:rFonts w:hint="eastAsia" w:ascii="宋体" w:hAnsi="宋体" w:eastAsia="宋体" w:cs="宋体"/>
          <w:b/>
          <w:bCs/>
          <w:color w:val="auto"/>
          <w:spacing w:val="0"/>
          <w:sz w:val="24"/>
          <w:szCs w:val="24"/>
        </w:rPr>
        <w:br w:type="page"/>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sz w:val="32"/>
          <w:szCs w:val="32"/>
        </w:rPr>
      </w:pPr>
      <w:r>
        <w:rPr>
          <w:rStyle w:val="14"/>
          <w:rFonts w:hint="eastAsia" w:ascii="宋体" w:hAnsi="宋体" w:eastAsia="宋体" w:cs="宋体"/>
          <w:b/>
          <w:bCs/>
          <w:color w:val="auto"/>
          <w:spacing w:val="0"/>
          <w:sz w:val="32"/>
          <w:szCs w:val="32"/>
        </w:rPr>
        <w:t>第六章   政府采购合同（参考文本）</w:t>
      </w: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auto"/>
          <w:sz w:val="24"/>
          <w:szCs w:val="24"/>
        </w:rPr>
      </w:pPr>
      <w:r>
        <w:rPr>
          <w:rStyle w:val="14"/>
          <w:rFonts w:hint="eastAsia" w:ascii="宋体" w:hAnsi="宋体" w:eastAsia="宋体" w:cs="宋体"/>
          <w:b/>
          <w:bCs/>
          <w:color w:val="auto"/>
          <w:spacing w:val="0"/>
          <w:sz w:val="24"/>
          <w:szCs w:val="24"/>
        </w:rPr>
        <w:t>编制说明</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Style w:val="14"/>
          <w:rFonts w:hint="eastAsia" w:ascii="宋体" w:hAnsi="宋体" w:eastAsia="宋体" w:cs="宋体"/>
          <w:b/>
          <w:bCs/>
          <w:color w:val="auto"/>
          <w:spacing w:val="0"/>
          <w:sz w:val="24"/>
          <w:szCs w:val="24"/>
        </w:rPr>
        <w:t>1、签订合同应遵守政府采购法、民法典。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Style w:val="14"/>
          <w:rFonts w:hint="eastAsia" w:ascii="宋体" w:hAnsi="宋体" w:eastAsia="宋体" w:cs="宋体"/>
          <w:b/>
          <w:bCs/>
          <w:color w:val="auto"/>
          <w:spacing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Style w:val="14"/>
          <w:rFonts w:hint="eastAsia" w:ascii="宋体" w:hAnsi="宋体" w:eastAsia="宋体" w:cs="宋体"/>
          <w:b/>
          <w:bCs/>
          <w:color w:val="auto"/>
          <w:spacing w:val="0"/>
          <w:sz w:val="24"/>
          <w:szCs w:val="24"/>
        </w:rPr>
        <w:t>3、国家有关部门对若干合同有规范文本的，可使用相应合同文本。</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Style w:val="14"/>
          <w:rFonts w:hint="eastAsia" w:ascii="宋体" w:hAnsi="宋体" w:eastAsia="宋体" w:cs="宋体"/>
          <w:b/>
          <w:bCs/>
          <w:color w:val="auto"/>
          <w:spacing w:val="0"/>
          <w:sz w:val="24"/>
          <w:szCs w:val="24"/>
        </w:rPr>
        <w:t>甲方：</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0"/>
          <w:sz w:val="24"/>
          <w:szCs w:val="24"/>
        </w:rPr>
        <w:t>乙方：</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0"/>
          <w:sz w:val="24"/>
          <w:szCs w:val="24"/>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0"/>
          <w:sz w:val="24"/>
          <w:szCs w:val="24"/>
        </w:rPr>
        <w:t>根据项目编号为</w:t>
      </w:r>
      <w:r>
        <w:rPr>
          <w:rFonts w:hint="eastAsia" w:ascii="宋体" w:hAnsi="宋体" w:eastAsia="宋体" w:cs="宋体"/>
          <w:b/>
          <w:bCs/>
          <w:color w:val="auto"/>
          <w:spacing w:val="0"/>
          <w:sz w:val="24"/>
          <w:szCs w:val="24"/>
          <w:lang w:val="en-US" w:eastAsia="zh-CN"/>
        </w:rPr>
        <w:t xml:space="preserve">             </w:t>
      </w:r>
      <w:r>
        <w:rPr>
          <w:rFonts w:hint="eastAsia" w:ascii="宋体" w:hAnsi="宋体" w:eastAsia="宋体" w:cs="宋体"/>
          <w:b/>
          <w:bCs/>
          <w:color w:val="auto"/>
          <w:spacing w:val="0"/>
          <w:sz w:val="24"/>
          <w:szCs w:val="24"/>
        </w:rPr>
        <w:t>的</w:t>
      </w:r>
      <w:r>
        <w:rPr>
          <w:rFonts w:hint="eastAsia" w:ascii="宋体" w:hAnsi="宋体" w:eastAsia="宋体" w:cs="宋体"/>
          <w:b/>
          <w:bCs/>
          <w:color w:val="auto"/>
          <w:spacing w:val="0"/>
          <w:sz w:val="24"/>
          <w:szCs w:val="24"/>
          <w:lang w:val="en-US" w:eastAsia="zh-CN"/>
        </w:rPr>
        <w:t xml:space="preserve">                    </w:t>
      </w:r>
      <w:r>
        <w:rPr>
          <w:rFonts w:hint="eastAsia" w:ascii="宋体" w:hAnsi="宋体" w:eastAsia="宋体" w:cs="宋体"/>
          <w:b/>
          <w:bCs/>
          <w:color w:val="auto"/>
          <w:spacing w:val="0"/>
          <w:sz w:val="24"/>
          <w:szCs w:val="24"/>
        </w:rPr>
        <w:t>项目（以下简称：“本项目”）的招标结果，乙方为中标人。现经甲乙双方友好协商，就以下事项达成一致并签订本合同：</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0"/>
          <w:sz w:val="24"/>
          <w:szCs w:val="24"/>
        </w:rPr>
        <w:t>1、下列合同文件是构成本合同不可分割的部分：</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0"/>
          <w:sz w:val="24"/>
          <w:szCs w:val="24"/>
        </w:rPr>
        <w:t>1.1合同条款；</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0"/>
          <w:sz w:val="24"/>
          <w:szCs w:val="24"/>
        </w:rPr>
        <w:t>1.2招标文件、乙方的电子投标文件；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0"/>
          <w:sz w:val="24"/>
          <w:szCs w:val="24"/>
        </w:rPr>
        <w:t>1.3其他文件或材料：□无。□（若有联合协议或分包意向协议）。</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0"/>
          <w:sz w:val="24"/>
          <w:szCs w:val="24"/>
        </w:rPr>
        <w:t>2、合同标的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0"/>
          <w:sz w:val="24"/>
          <w:szCs w:val="24"/>
          <w:u w:val="single"/>
        </w:rPr>
        <w:t>（按照实际情况编制填写，可以是表格或文字描述）</w:t>
      </w:r>
      <w:r>
        <w:rPr>
          <w:rFonts w:hint="eastAsia" w:ascii="宋体" w:hAnsi="宋体" w:eastAsia="宋体" w:cs="宋体"/>
          <w:b/>
          <w:bCs/>
          <w:color w:val="auto"/>
          <w:spacing w:val="0"/>
          <w:sz w:val="24"/>
          <w:szCs w:val="24"/>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0"/>
          <w:sz w:val="24"/>
          <w:szCs w:val="24"/>
        </w:rPr>
        <w:t>3、合同总金额</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0"/>
          <w:sz w:val="24"/>
          <w:szCs w:val="24"/>
        </w:rPr>
        <w:t>3.1合同总金额为人民币大写：元（￥）。</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0"/>
          <w:sz w:val="24"/>
          <w:szCs w:val="24"/>
        </w:rPr>
        <w:t>4、合同标的交付时间、地点和条件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0"/>
          <w:sz w:val="24"/>
          <w:szCs w:val="24"/>
        </w:rPr>
        <w:t>4.1交付时间：；</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0"/>
          <w:sz w:val="24"/>
          <w:szCs w:val="24"/>
        </w:rPr>
        <w:t>4.2交付地点：；</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0"/>
          <w:sz w:val="24"/>
          <w:szCs w:val="24"/>
        </w:rPr>
        <w:t>4.3交付条件：。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0"/>
          <w:sz w:val="24"/>
          <w:szCs w:val="24"/>
        </w:rPr>
        <w:t>5、合同标的应符合招标文件、乙方电子投标文件的规定或约定，具体如下：</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0"/>
          <w:sz w:val="24"/>
          <w:szCs w:val="24"/>
          <w:u w:val="single"/>
        </w:rPr>
        <w:t>（按照实际情况编制填写，可以是表格或文字描述）</w:t>
      </w:r>
      <w:r>
        <w:rPr>
          <w:rFonts w:hint="eastAsia" w:ascii="宋体" w:hAnsi="宋体" w:eastAsia="宋体" w:cs="宋体"/>
          <w:b/>
          <w:bCs/>
          <w:color w:val="auto"/>
          <w:spacing w:val="0"/>
          <w:sz w:val="24"/>
          <w:szCs w:val="24"/>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0"/>
          <w:sz w:val="24"/>
          <w:szCs w:val="24"/>
        </w:rPr>
        <w:t>6、验收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0"/>
          <w:sz w:val="24"/>
          <w:szCs w:val="24"/>
        </w:rPr>
        <w:t>6.1验收应按照招标文件、乙方电子投标文件的规定或约定进行，具体如下：</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0"/>
          <w:sz w:val="24"/>
          <w:szCs w:val="24"/>
          <w:u w:val="single"/>
        </w:rPr>
        <w:t>（按照实际情况编制填写，可以是表格或文字描述）</w:t>
      </w:r>
      <w:r>
        <w:rPr>
          <w:rFonts w:hint="eastAsia" w:ascii="宋体" w:hAnsi="宋体" w:eastAsia="宋体" w:cs="宋体"/>
          <w:b/>
          <w:bCs/>
          <w:color w:val="auto"/>
          <w:spacing w:val="0"/>
          <w:sz w:val="24"/>
          <w:szCs w:val="24"/>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0"/>
          <w:sz w:val="24"/>
          <w:szCs w:val="24"/>
        </w:rPr>
        <w:t>6.2本项目是否邀请其他投标人参与验收：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0"/>
          <w:sz w:val="24"/>
          <w:szCs w:val="24"/>
        </w:rPr>
        <w:t>□不邀请。□邀请，具体如下：</w:t>
      </w:r>
      <w:r>
        <w:rPr>
          <w:rFonts w:hint="eastAsia" w:ascii="宋体" w:hAnsi="宋体" w:eastAsia="宋体" w:cs="宋体"/>
          <w:b/>
          <w:bCs/>
          <w:color w:val="auto"/>
          <w:spacing w:val="0"/>
          <w:sz w:val="24"/>
          <w:szCs w:val="24"/>
          <w:u w:val="single"/>
        </w:rPr>
        <w:t>（按照招标文件规定填写）</w:t>
      </w:r>
      <w:r>
        <w:rPr>
          <w:rFonts w:hint="eastAsia" w:ascii="宋体" w:hAnsi="宋体" w:eastAsia="宋体" w:cs="宋体"/>
          <w:b/>
          <w:bCs/>
          <w:color w:val="auto"/>
          <w:spacing w:val="0"/>
          <w:sz w:val="24"/>
          <w:szCs w:val="24"/>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0"/>
          <w:sz w:val="24"/>
          <w:szCs w:val="24"/>
        </w:rPr>
        <w:t>7、合同款项的支付应按照招标文件的规定进行，具体如下：</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0"/>
          <w:sz w:val="24"/>
          <w:szCs w:val="24"/>
          <w:u w:val="single"/>
        </w:rPr>
        <w:t>（按照实际情况编制填写，可以是表格或文字描述，包括一次性支付或分期支付等）</w:t>
      </w:r>
      <w:r>
        <w:rPr>
          <w:rFonts w:hint="eastAsia" w:ascii="宋体" w:hAnsi="宋体" w:eastAsia="宋体" w:cs="宋体"/>
          <w:b/>
          <w:bCs/>
          <w:color w:val="auto"/>
          <w:spacing w:val="0"/>
          <w:sz w:val="24"/>
          <w:szCs w:val="24"/>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0"/>
          <w:sz w:val="24"/>
          <w:szCs w:val="24"/>
        </w:rPr>
        <w:t>8、履约保证金</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0"/>
          <w:sz w:val="24"/>
          <w:szCs w:val="24"/>
        </w:rPr>
        <w:t>□无。□有，具体如下：</w:t>
      </w:r>
      <w:r>
        <w:rPr>
          <w:rFonts w:hint="eastAsia" w:ascii="宋体" w:hAnsi="宋体" w:eastAsia="宋体" w:cs="宋体"/>
          <w:b/>
          <w:bCs/>
          <w:color w:val="auto"/>
          <w:spacing w:val="0"/>
          <w:sz w:val="24"/>
          <w:szCs w:val="24"/>
          <w:u w:val="single"/>
        </w:rPr>
        <w:t>（按照招标文件规定填写）</w:t>
      </w:r>
      <w:r>
        <w:rPr>
          <w:rFonts w:hint="eastAsia" w:ascii="宋体" w:hAnsi="宋体" w:eastAsia="宋体" w:cs="宋体"/>
          <w:b/>
          <w:bCs/>
          <w:color w:val="auto"/>
          <w:spacing w:val="0"/>
          <w:sz w:val="24"/>
          <w:szCs w:val="24"/>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0"/>
          <w:sz w:val="24"/>
          <w:szCs w:val="24"/>
        </w:rPr>
        <w:t>9、合同有效期</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0"/>
          <w:sz w:val="24"/>
          <w:szCs w:val="24"/>
          <w:u w:val="single"/>
        </w:rPr>
        <w:t>（按照实际情况编制填写，可以是表格或文字描述）</w:t>
      </w:r>
      <w:r>
        <w:rPr>
          <w:rFonts w:hint="eastAsia" w:ascii="宋体" w:hAnsi="宋体" w:eastAsia="宋体" w:cs="宋体"/>
          <w:b/>
          <w:bCs/>
          <w:color w:val="auto"/>
          <w:spacing w:val="0"/>
          <w:sz w:val="24"/>
          <w:szCs w:val="24"/>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0"/>
          <w:sz w:val="24"/>
          <w:szCs w:val="24"/>
        </w:rPr>
        <w:t>10、违约责任</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0"/>
          <w:sz w:val="24"/>
          <w:szCs w:val="24"/>
          <w:u w:val="single"/>
        </w:rPr>
        <w:t>（按照实际情况编制填写，可以是表格或文字描述）</w:t>
      </w:r>
      <w:r>
        <w:rPr>
          <w:rFonts w:hint="eastAsia" w:ascii="宋体" w:hAnsi="宋体" w:eastAsia="宋体" w:cs="宋体"/>
          <w:b/>
          <w:bCs/>
          <w:color w:val="auto"/>
          <w:spacing w:val="0"/>
          <w:sz w:val="24"/>
          <w:szCs w:val="24"/>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0"/>
          <w:sz w:val="24"/>
          <w:szCs w:val="24"/>
        </w:rPr>
        <w:t>11、知识产权</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b/>
          <w:bCs/>
          <w:color w:val="auto"/>
          <w:spacing w:val="0"/>
          <w:sz w:val="24"/>
          <w:szCs w:val="24"/>
          <w:u w:val="single"/>
        </w:rPr>
        <w:t>（按照实际情况编制填写）</w:t>
      </w:r>
      <w:r>
        <w:rPr>
          <w:rFonts w:hint="eastAsia" w:ascii="宋体" w:hAnsi="宋体" w:eastAsia="宋体" w:cs="宋体"/>
          <w:b/>
          <w:bCs/>
          <w:color w:val="auto"/>
          <w:spacing w:val="0"/>
          <w:sz w:val="24"/>
          <w:szCs w:val="24"/>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0"/>
          <w:sz w:val="24"/>
          <w:szCs w:val="24"/>
        </w:rPr>
        <w:t>12、解决争议的方法</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0"/>
          <w:sz w:val="24"/>
          <w:szCs w:val="24"/>
        </w:rPr>
        <w:t>12.1甲、乙双方协商解决。</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0"/>
          <w:sz w:val="24"/>
          <w:szCs w:val="24"/>
        </w:rPr>
        <w:t>12.2若协商解决不成，则通过下列途径之一解决：</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0"/>
          <w:sz w:val="24"/>
          <w:szCs w:val="24"/>
        </w:rPr>
        <w:t>□提交仲裁委员会仲裁，具体如下：</w:t>
      </w:r>
      <w:r>
        <w:rPr>
          <w:rFonts w:hint="eastAsia" w:ascii="宋体" w:hAnsi="宋体" w:eastAsia="宋体" w:cs="宋体"/>
          <w:b/>
          <w:bCs/>
          <w:color w:val="auto"/>
          <w:spacing w:val="0"/>
          <w:sz w:val="24"/>
          <w:szCs w:val="24"/>
          <w:u w:val="single"/>
        </w:rPr>
        <w:t>（按照实际情况编制填写）</w:t>
      </w:r>
      <w:r>
        <w:rPr>
          <w:rFonts w:hint="eastAsia" w:ascii="宋体" w:hAnsi="宋体" w:eastAsia="宋体" w:cs="宋体"/>
          <w:b/>
          <w:bCs/>
          <w:color w:val="auto"/>
          <w:spacing w:val="0"/>
          <w:sz w:val="24"/>
          <w:szCs w:val="24"/>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0"/>
          <w:sz w:val="24"/>
          <w:szCs w:val="24"/>
        </w:rPr>
        <w:t>□向人民法院提起诉讼，具体如下：</w:t>
      </w:r>
      <w:r>
        <w:rPr>
          <w:rFonts w:hint="eastAsia" w:ascii="宋体" w:hAnsi="宋体" w:eastAsia="宋体" w:cs="宋体"/>
          <w:b/>
          <w:bCs/>
          <w:color w:val="auto"/>
          <w:spacing w:val="0"/>
          <w:sz w:val="24"/>
          <w:szCs w:val="24"/>
          <w:u w:val="single"/>
        </w:rPr>
        <w:t>（按照实际情况编制填写）</w:t>
      </w:r>
      <w:r>
        <w:rPr>
          <w:rFonts w:hint="eastAsia" w:ascii="宋体" w:hAnsi="宋体" w:eastAsia="宋体" w:cs="宋体"/>
          <w:b/>
          <w:bCs/>
          <w:color w:val="auto"/>
          <w:spacing w:val="0"/>
          <w:sz w:val="24"/>
          <w:szCs w:val="24"/>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0"/>
          <w:sz w:val="24"/>
          <w:szCs w:val="24"/>
        </w:rPr>
        <w:t>13、不可抗力</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0"/>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0"/>
          <w:sz w:val="24"/>
          <w:szCs w:val="24"/>
        </w:rPr>
        <w:t>14、合同条款</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0"/>
          <w:sz w:val="24"/>
          <w:szCs w:val="24"/>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b/>
          <w:bCs/>
          <w:color w:val="auto"/>
          <w:spacing w:val="0"/>
          <w:sz w:val="24"/>
          <w:szCs w:val="24"/>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0"/>
          <w:sz w:val="24"/>
          <w:szCs w:val="24"/>
        </w:rPr>
        <w:t>15、其他约定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0"/>
          <w:sz w:val="24"/>
          <w:szCs w:val="24"/>
        </w:rPr>
        <w:t>15.1合同文件与本合同具有同等法律效力。</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0"/>
          <w:sz w:val="24"/>
          <w:szCs w:val="24"/>
        </w:rPr>
        <w:t>15.2本合同未尽事宜，双方可另行补充。</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0"/>
          <w:sz w:val="24"/>
          <w:szCs w:val="24"/>
        </w:rPr>
        <w:t>15.3合同生效：自签订之日起生效；通过福建省政府采购网上公开信息系统采用电子形式签订合同的，签订之日以系统记载的双方使用各自CA证书在合同上加盖单位公章或合同章的日期中的最晚时间为准。</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0"/>
          <w:sz w:val="24"/>
          <w:szCs w:val="24"/>
        </w:rPr>
        <w:t>15.4本合同一式</w:t>
      </w:r>
      <w:r>
        <w:rPr>
          <w:rFonts w:hint="eastAsia" w:ascii="宋体" w:hAnsi="宋体" w:eastAsia="宋体" w:cs="宋体"/>
          <w:b/>
          <w:bCs/>
          <w:color w:val="auto"/>
          <w:spacing w:val="0"/>
          <w:sz w:val="24"/>
          <w:szCs w:val="24"/>
          <w:u w:val="single"/>
        </w:rPr>
        <w:t>（填写具体份数）</w:t>
      </w:r>
      <w:r>
        <w:rPr>
          <w:rFonts w:hint="eastAsia" w:ascii="宋体" w:hAnsi="宋体" w:eastAsia="宋体" w:cs="宋体"/>
          <w:b/>
          <w:bCs/>
          <w:color w:val="auto"/>
          <w:spacing w:val="0"/>
          <w:sz w:val="24"/>
          <w:szCs w:val="24"/>
        </w:rPr>
        <w:t>份，经双方授权代表签字并盖章后生效。甲方、乙方各执</w:t>
      </w:r>
      <w:r>
        <w:rPr>
          <w:rFonts w:hint="eastAsia" w:ascii="宋体" w:hAnsi="宋体" w:eastAsia="宋体" w:cs="宋体"/>
          <w:b/>
          <w:bCs/>
          <w:color w:val="auto"/>
          <w:spacing w:val="0"/>
          <w:sz w:val="24"/>
          <w:szCs w:val="24"/>
          <w:u w:val="single"/>
        </w:rPr>
        <w:t>（填写具体份数）</w:t>
      </w:r>
      <w:r>
        <w:rPr>
          <w:rFonts w:hint="eastAsia" w:ascii="宋体" w:hAnsi="宋体" w:eastAsia="宋体" w:cs="宋体"/>
          <w:b/>
          <w:bCs/>
          <w:color w:val="auto"/>
          <w:spacing w:val="0"/>
          <w:sz w:val="24"/>
          <w:szCs w:val="24"/>
        </w:rPr>
        <w:t>份，送</w:t>
      </w:r>
      <w:r>
        <w:rPr>
          <w:rFonts w:hint="eastAsia" w:ascii="宋体" w:hAnsi="宋体" w:eastAsia="宋体" w:cs="宋体"/>
          <w:b/>
          <w:bCs/>
          <w:color w:val="auto"/>
          <w:spacing w:val="0"/>
          <w:sz w:val="24"/>
          <w:szCs w:val="24"/>
          <w:u w:val="single"/>
        </w:rPr>
        <w:t>（填写需要备案的监管部门的全称）</w:t>
      </w:r>
      <w:r>
        <w:rPr>
          <w:rFonts w:hint="eastAsia" w:ascii="宋体" w:hAnsi="宋体" w:eastAsia="宋体" w:cs="宋体"/>
          <w:b/>
          <w:bCs/>
          <w:color w:val="auto"/>
          <w:spacing w:val="0"/>
          <w:sz w:val="24"/>
          <w:szCs w:val="24"/>
        </w:rPr>
        <w:t>备案</w:t>
      </w:r>
      <w:r>
        <w:rPr>
          <w:rFonts w:hint="eastAsia" w:ascii="宋体" w:hAnsi="宋体" w:eastAsia="宋体" w:cs="宋体"/>
          <w:b/>
          <w:bCs/>
          <w:color w:val="auto"/>
          <w:spacing w:val="0"/>
          <w:sz w:val="24"/>
          <w:szCs w:val="24"/>
          <w:u w:val="single"/>
        </w:rPr>
        <w:t>（填写具体份数）</w:t>
      </w:r>
      <w:r>
        <w:rPr>
          <w:rFonts w:hint="eastAsia" w:ascii="宋体" w:hAnsi="宋体" w:eastAsia="宋体" w:cs="宋体"/>
          <w:b/>
          <w:bCs/>
          <w:color w:val="auto"/>
          <w:spacing w:val="0"/>
          <w:sz w:val="24"/>
          <w:szCs w:val="24"/>
        </w:rPr>
        <w:t>份，具有同等效力。</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0"/>
          <w:sz w:val="24"/>
          <w:szCs w:val="24"/>
        </w:rPr>
        <w:t>15.5其他：□无。□</w:t>
      </w:r>
      <w:r>
        <w:rPr>
          <w:rFonts w:hint="eastAsia" w:ascii="宋体" w:hAnsi="宋体" w:eastAsia="宋体" w:cs="宋体"/>
          <w:b/>
          <w:bCs/>
          <w:color w:val="auto"/>
          <w:spacing w:val="0"/>
          <w:sz w:val="24"/>
          <w:szCs w:val="24"/>
          <w:u w:val="single"/>
        </w:rPr>
        <w:t>（按照实际情况编制填写需要增加的内容）</w:t>
      </w:r>
      <w:r>
        <w:rPr>
          <w:rFonts w:hint="eastAsia" w:ascii="宋体" w:hAnsi="宋体" w:eastAsia="宋体" w:cs="宋体"/>
          <w:b/>
          <w:bCs/>
          <w:color w:val="auto"/>
          <w:spacing w:val="0"/>
          <w:sz w:val="24"/>
          <w:szCs w:val="24"/>
        </w:rPr>
        <w:t>。</w:t>
      </w: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bCs/>
          <w:color w:val="auto"/>
          <w:spacing w:val="0"/>
          <w:sz w:val="24"/>
          <w:szCs w:val="24"/>
        </w:rPr>
      </w:pP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b/>
          <w:bCs/>
          <w:color w:val="auto"/>
          <w:spacing w:val="0"/>
          <w:sz w:val="24"/>
          <w:szCs w:val="24"/>
        </w:rPr>
        <w:t>（以下无正文）</w:t>
      </w: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0"/>
          <w:sz w:val="24"/>
          <w:szCs w:val="24"/>
        </w:rPr>
        <w:t> </w:t>
      </w:r>
    </w:p>
    <w:p>
      <w:pPr>
        <w:pStyle w:val="10"/>
        <w:keepNext w:val="0"/>
        <w:keepLines w:val="0"/>
        <w:pageBreakBefore w:val="0"/>
        <w:widowControl/>
        <w:suppressLineNumbers w:val="0"/>
        <w:pBdr>
          <w:left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0"/>
          <w:sz w:val="24"/>
          <w:szCs w:val="24"/>
        </w:rPr>
        <w:t>甲方：</w:t>
      </w:r>
      <w:r>
        <w:rPr>
          <w:rFonts w:hint="eastAsia" w:ascii="宋体" w:hAnsi="宋体" w:eastAsia="宋体" w:cs="宋体"/>
          <w:b/>
          <w:bCs/>
          <w:color w:val="auto"/>
          <w:spacing w:val="0"/>
          <w:sz w:val="24"/>
          <w:szCs w:val="24"/>
          <w:lang w:val="en-US" w:eastAsia="zh-CN"/>
        </w:rPr>
        <w:t xml:space="preserve">                                   </w:t>
      </w:r>
      <w:r>
        <w:rPr>
          <w:rFonts w:hint="eastAsia" w:ascii="宋体" w:hAnsi="宋体" w:eastAsia="宋体" w:cs="宋体"/>
          <w:b/>
          <w:bCs/>
          <w:color w:val="auto"/>
          <w:spacing w:val="0"/>
          <w:sz w:val="24"/>
          <w:szCs w:val="24"/>
        </w:rPr>
        <w:t>乙方：</w:t>
      </w:r>
    </w:p>
    <w:p>
      <w:pPr>
        <w:pStyle w:val="10"/>
        <w:keepNext w:val="0"/>
        <w:keepLines w:val="0"/>
        <w:pageBreakBefore w:val="0"/>
        <w:widowControl/>
        <w:suppressLineNumbers w:val="0"/>
        <w:pBdr>
          <w:left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0"/>
          <w:sz w:val="24"/>
          <w:szCs w:val="24"/>
        </w:rPr>
        <w:t>住所：</w:t>
      </w:r>
      <w:r>
        <w:rPr>
          <w:rFonts w:hint="eastAsia" w:ascii="宋体" w:hAnsi="宋体" w:eastAsia="宋体" w:cs="宋体"/>
          <w:b/>
          <w:bCs/>
          <w:color w:val="auto"/>
          <w:spacing w:val="0"/>
          <w:sz w:val="24"/>
          <w:szCs w:val="24"/>
          <w:lang w:val="en-US" w:eastAsia="zh-CN"/>
        </w:rPr>
        <w:t xml:space="preserve">                                   </w:t>
      </w:r>
      <w:r>
        <w:rPr>
          <w:rFonts w:hint="eastAsia" w:ascii="宋体" w:hAnsi="宋体" w:eastAsia="宋体" w:cs="宋体"/>
          <w:b/>
          <w:bCs/>
          <w:color w:val="auto"/>
          <w:spacing w:val="0"/>
          <w:sz w:val="24"/>
          <w:szCs w:val="24"/>
        </w:rPr>
        <w:t>住所：</w:t>
      </w:r>
    </w:p>
    <w:p>
      <w:pPr>
        <w:pStyle w:val="10"/>
        <w:keepNext w:val="0"/>
        <w:keepLines w:val="0"/>
        <w:pageBreakBefore w:val="0"/>
        <w:widowControl/>
        <w:suppressLineNumbers w:val="0"/>
        <w:pBdr>
          <w:left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0"/>
          <w:sz w:val="24"/>
          <w:szCs w:val="24"/>
        </w:rPr>
        <w:t>单位负责人：</w:t>
      </w:r>
      <w:r>
        <w:rPr>
          <w:rFonts w:hint="eastAsia" w:ascii="宋体" w:hAnsi="宋体" w:eastAsia="宋体" w:cs="宋体"/>
          <w:b/>
          <w:bCs/>
          <w:color w:val="auto"/>
          <w:spacing w:val="0"/>
          <w:sz w:val="24"/>
          <w:szCs w:val="24"/>
          <w:lang w:val="en-US" w:eastAsia="zh-CN"/>
        </w:rPr>
        <w:t xml:space="preserve">                            </w:t>
      </w:r>
      <w:r>
        <w:rPr>
          <w:rFonts w:hint="eastAsia" w:ascii="宋体" w:hAnsi="宋体" w:eastAsia="宋体" w:cs="宋体"/>
          <w:b/>
          <w:bCs/>
          <w:color w:val="auto"/>
          <w:spacing w:val="0"/>
          <w:sz w:val="24"/>
          <w:szCs w:val="24"/>
        </w:rPr>
        <w:t>单位负责人：</w:t>
      </w:r>
    </w:p>
    <w:p>
      <w:pPr>
        <w:pStyle w:val="10"/>
        <w:keepNext w:val="0"/>
        <w:keepLines w:val="0"/>
        <w:pageBreakBefore w:val="0"/>
        <w:widowControl/>
        <w:suppressLineNumbers w:val="0"/>
        <w:pBdr>
          <w:left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0"/>
          <w:sz w:val="24"/>
          <w:szCs w:val="24"/>
        </w:rPr>
        <w:t>委托代理人：</w:t>
      </w:r>
      <w:r>
        <w:rPr>
          <w:rFonts w:hint="eastAsia" w:ascii="宋体" w:hAnsi="宋体" w:eastAsia="宋体" w:cs="宋体"/>
          <w:b/>
          <w:bCs/>
          <w:color w:val="auto"/>
          <w:spacing w:val="0"/>
          <w:sz w:val="24"/>
          <w:szCs w:val="24"/>
          <w:lang w:val="en-US" w:eastAsia="zh-CN"/>
        </w:rPr>
        <w:t xml:space="preserve">                            </w:t>
      </w:r>
      <w:r>
        <w:rPr>
          <w:rFonts w:hint="eastAsia" w:ascii="宋体" w:hAnsi="宋体" w:eastAsia="宋体" w:cs="宋体"/>
          <w:b/>
          <w:bCs/>
          <w:color w:val="auto"/>
          <w:spacing w:val="0"/>
          <w:sz w:val="24"/>
          <w:szCs w:val="24"/>
        </w:rPr>
        <w:t>委托代理人：</w:t>
      </w:r>
    </w:p>
    <w:p>
      <w:pPr>
        <w:pStyle w:val="10"/>
        <w:keepNext w:val="0"/>
        <w:keepLines w:val="0"/>
        <w:pageBreakBefore w:val="0"/>
        <w:widowControl/>
        <w:suppressLineNumbers w:val="0"/>
        <w:pBdr>
          <w:left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0"/>
          <w:sz w:val="24"/>
          <w:szCs w:val="24"/>
        </w:rPr>
        <w:t>联系方法：</w:t>
      </w:r>
      <w:r>
        <w:rPr>
          <w:rFonts w:hint="eastAsia" w:ascii="宋体" w:hAnsi="宋体" w:eastAsia="宋体" w:cs="宋体"/>
          <w:b/>
          <w:bCs/>
          <w:color w:val="auto"/>
          <w:spacing w:val="0"/>
          <w:sz w:val="24"/>
          <w:szCs w:val="24"/>
          <w:lang w:val="en-US" w:eastAsia="zh-CN"/>
        </w:rPr>
        <w:t xml:space="preserve">                              </w:t>
      </w:r>
      <w:r>
        <w:rPr>
          <w:rFonts w:hint="eastAsia" w:ascii="宋体" w:hAnsi="宋体" w:eastAsia="宋体" w:cs="宋体"/>
          <w:b/>
          <w:bCs/>
          <w:color w:val="auto"/>
          <w:spacing w:val="0"/>
          <w:sz w:val="24"/>
          <w:szCs w:val="24"/>
        </w:rPr>
        <w:t>联系方法：</w:t>
      </w:r>
    </w:p>
    <w:p>
      <w:pPr>
        <w:pStyle w:val="10"/>
        <w:keepNext w:val="0"/>
        <w:keepLines w:val="0"/>
        <w:pageBreakBefore w:val="0"/>
        <w:widowControl/>
        <w:suppressLineNumbers w:val="0"/>
        <w:pBdr>
          <w:left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0"/>
          <w:sz w:val="24"/>
          <w:szCs w:val="24"/>
        </w:rPr>
        <w:t>开户银行：</w:t>
      </w:r>
      <w:r>
        <w:rPr>
          <w:rFonts w:hint="eastAsia" w:ascii="宋体" w:hAnsi="宋体" w:eastAsia="宋体" w:cs="宋体"/>
          <w:b/>
          <w:bCs/>
          <w:color w:val="auto"/>
          <w:spacing w:val="0"/>
          <w:sz w:val="24"/>
          <w:szCs w:val="24"/>
          <w:lang w:val="en-US" w:eastAsia="zh-CN"/>
        </w:rPr>
        <w:t xml:space="preserve">                                       </w:t>
      </w:r>
      <w:r>
        <w:rPr>
          <w:rFonts w:hint="eastAsia" w:ascii="宋体" w:hAnsi="宋体" w:eastAsia="宋体" w:cs="宋体"/>
          <w:b/>
          <w:bCs/>
          <w:color w:val="auto"/>
          <w:spacing w:val="0"/>
          <w:sz w:val="24"/>
          <w:szCs w:val="24"/>
        </w:rPr>
        <w:t>开户银行：</w:t>
      </w:r>
    </w:p>
    <w:p>
      <w:pPr>
        <w:pStyle w:val="10"/>
        <w:keepNext w:val="0"/>
        <w:keepLines w:val="0"/>
        <w:pageBreakBefore w:val="0"/>
        <w:widowControl/>
        <w:suppressLineNumbers w:val="0"/>
        <w:pBdr>
          <w:left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0"/>
          <w:sz w:val="24"/>
          <w:szCs w:val="24"/>
        </w:rPr>
        <w:t>账号：</w:t>
      </w:r>
      <w:r>
        <w:rPr>
          <w:rFonts w:hint="eastAsia" w:ascii="宋体" w:hAnsi="宋体" w:eastAsia="宋体" w:cs="宋体"/>
          <w:b/>
          <w:bCs/>
          <w:color w:val="auto"/>
          <w:spacing w:val="0"/>
          <w:sz w:val="24"/>
          <w:szCs w:val="24"/>
          <w:lang w:val="en-US" w:eastAsia="zh-CN"/>
        </w:rPr>
        <w:t xml:space="preserve">                                           </w:t>
      </w:r>
      <w:r>
        <w:rPr>
          <w:rFonts w:hint="eastAsia" w:ascii="宋体" w:hAnsi="宋体" w:eastAsia="宋体" w:cs="宋体"/>
          <w:b/>
          <w:bCs/>
          <w:color w:val="auto"/>
          <w:spacing w:val="0"/>
          <w:sz w:val="24"/>
          <w:szCs w:val="24"/>
        </w:rPr>
        <w:t>账号：</w:t>
      </w: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0"/>
          <w:sz w:val="24"/>
          <w:szCs w:val="24"/>
        </w:rPr>
        <w:t> </w:t>
      </w: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0"/>
          <w:sz w:val="24"/>
          <w:szCs w:val="24"/>
        </w:rPr>
        <w:t> </w:t>
      </w: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0"/>
          <w:sz w:val="24"/>
          <w:szCs w:val="24"/>
        </w:rPr>
        <w:t>签订地点：</w:t>
      </w: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0"/>
          <w:sz w:val="24"/>
          <w:szCs w:val="24"/>
        </w:rPr>
        <w:t>签订日期：</w:t>
      </w:r>
      <w:r>
        <w:rPr>
          <w:rFonts w:hint="eastAsia" w:ascii="宋体" w:hAnsi="宋体" w:eastAsia="宋体" w:cs="宋体"/>
          <w:b/>
          <w:bCs/>
          <w:color w:val="auto"/>
          <w:spacing w:val="0"/>
          <w:sz w:val="24"/>
          <w:szCs w:val="24"/>
          <w:u w:val="single"/>
        </w:rPr>
        <w:t>    </w:t>
      </w:r>
      <w:r>
        <w:rPr>
          <w:rFonts w:hint="eastAsia" w:ascii="宋体" w:hAnsi="宋体" w:eastAsia="宋体" w:cs="宋体"/>
          <w:b/>
          <w:bCs/>
          <w:color w:val="auto"/>
          <w:spacing w:val="0"/>
          <w:sz w:val="24"/>
          <w:szCs w:val="24"/>
        </w:rPr>
        <w:t>年</w:t>
      </w:r>
      <w:r>
        <w:rPr>
          <w:rFonts w:hint="eastAsia" w:ascii="宋体" w:hAnsi="宋体" w:eastAsia="宋体" w:cs="宋体"/>
          <w:b/>
          <w:bCs/>
          <w:color w:val="auto"/>
          <w:spacing w:val="0"/>
          <w:sz w:val="24"/>
          <w:szCs w:val="24"/>
          <w:u w:val="single"/>
        </w:rPr>
        <w:t>   </w:t>
      </w:r>
      <w:r>
        <w:rPr>
          <w:rFonts w:hint="eastAsia" w:ascii="宋体" w:hAnsi="宋体" w:eastAsia="宋体" w:cs="宋体"/>
          <w:b/>
          <w:bCs/>
          <w:color w:val="auto"/>
          <w:spacing w:val="0"/>
          <w:sz w:val="24"/>
          <w:szCs w:val="24"/>
        </w:rPr>
        <w:t>月</w:t>
      </w:r>
      <w:r>
        <w:rPr>
          <w:rFonts w:hint="eastAsia" w:ascii="宋体" w:hAnsi="宋体" w:eastAsia="宋体" w:cs="宋体"/>
          <w:b/>
          <w:bCs/>
          <w:color w:val="auto"/>
          <w:spacing w:val="0"/>
          <w:sz w:val="24"/>
          <w:szCs w:val="24"/>
          <w:u w:val="single"/>
        </w:rPr>
        <w:t>   </w:t>
      </w:r>
      <w:r>
        <w:rPr>
          <w:rFonts w:hint="eastAsia" w:ascii="宋体" w:hAnsi="宋体" w:eastAsia="宋体" w:cs="宋体"/>
          <w:b/>
          <w:bCs/>
          <w:color w:val="auto"/>
          <w:spacing w:val="0"/>
          <w:sz w:val="24"/>
          <w:szCs w:val="24"/>
        </w:rPr>
        <w:t>日</w:t>
      </w: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 </w:t>
      </w: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 </w:t>
      </w: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                                                                                  </w:t>
      </w:r>
    </w:p>
    <w:p>
      <w:pPr>
        <w:rPr>
          <w:rStyle w:val="14"/>
          <w:rFonts w:hint="eastAsia" w:ascii="宋体" w:hAnsi="宋体" w:eastAsia="宋体" w:cs="宋体"/>
          <w:b/>
          <w:bCs/>
          <w:color w:val="auto"/>
          <w:spacing w:val="0"/>
          <w:sz w:val="24"/>
          <w:szCs w:val="24"/>
        </w:rPr>
      </w:pPr>
      <w:r>
        <w:rPr>
          <w:rStyle w:val="14"/>
          <w:rFonts w:hint="eastAsia" w:ascii="宋体" w:hAnsi="宋体" w:eastAsia="宋体" w:cs="宋体"/>
          <w:b/>
          <w:bCs/>
          <w:color w:val="auto"/>
          <w:spacing w:val="0"/>
          <w:sz w:val="24"/>
          <w:szCs w:val="24"/>
        </w:rPr>
        <w:br w:type="page"/>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sz w:val="32"/>
          <w:szCs w:val="32"/>
        </w:rPr>
      </w:pPr>
      <w:r>
        <w:rPr>
          <w:rStyle w:val="14"/>
          <w:rFonts w:hint="eastAsia" w:ascii="宋体" w:hAnsi="宋体" w:eastAsia="宋体" w:cs="宋体"/>
          <w:b/>
          <w:bCs/>
          <w:color w:val="auto"/>
          <w:spacing w:val="0"/>
          <w:sz w:val="32"/>
          <w:szCs w:val="32"/>
        </w:rPr>
        <w:t>第七章   电子投标文件格式</w:t>
      </w: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auto"/>
          <w:sz w:val="24"/>
          <w:szCs w:val="24"/>
        </w:rPr>
      </w:pPr>
      <w:r>
        <w:rPr>
          <w:rStyle w:val="14"/>
          <w:rFonts w:hint="eastAsia" w:ascii="宋体" w:hAnsi="宋体" w:eastAsia="宋体" w:cs="宋体"/>
          <w:b/>
          <w:bCs/>
          <w:color w:val="auto"/>
          <w:sz w:val="24"/>
          <w:szCs w:val="24"/>
        </w:rPr>
        <w:t>编制说明</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1、除招标文件另有规定外，本章中：</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1.1涉及投标人的</w:t>
      </w:r>
      <w:r>
        <w:rPr>
          <w:rStyle w:val="14"/>
          <w:rFonts w:hint="eastAsia" w:ascii="宋体" w:hAnsi="宋体" w:eastAsia="宋体" w:cs="宋体"/>
          <w:b/>
          <w:bCs/>
          <w:color w:val="auto"/>
          <w:sz w:val="24"/>
          <w:szCs w:val="24"/>
        </w:rPr>
        <w:t>“全称”</w:t>
      </w:r>
      <w:r>
        <w:rPr>
          <w:rFonts w:hint="eastAsia" w:ascii="宋体" w:hAnsi="宋体" w:eastAsia="宋体" w:cs="宋体"/>
          <w:color w:val="auto"/>
          <w:sz w:val="24"/>
          <w:szCs w:val="24"/>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（1）不接受联合体投标的，指</w:t>
      </w:r>
      <w:r>
        <w:rPr>
          <w:rStyle w:val="14"/>
          <w:rFonts w:hint="eastAsia" w:ascii="宋体" w:hAnsi="宋体" w:eastAsia="宋体" w:cs="宋体"/>
          <w:b/>
          <w:bCs/>
          <w:color w:val="auto"/>
          <w:sz w:val="24"/>
          <w:szCs w:val="24"/>
        </w:rPr>
        <w:t>投标人的全称</w:t>
      </w:r>
      <w:r>
        <w:rPr>
          <w:rFonts w:hint="eastAsia" w:ascii="宋体" w:hAnsi="宋体" w:eastAsia="宋体" w:cs="宋体"/>
          <w:color w:val="auto"/>
          <w:sz w:val="24"/>
          <w:szCs w:val="24"/>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（2）接受联合体投标且投标人为联合体的，指</w:t>
      </w:r>
      <w:r>
        <w:rPr>
          <w:rStyle w:val="14"/>
          <w:rFonts w:hint="eastAsia" w:ascii="宋体" w:hAnsi="宋体" w:eastAsia="宋体" w:cs="宋体"/>
          <w:b/>
          <w:bCs/>
          <w:color w:val="auto"/>
          <w:sz w:val="24"/>
          <w:szCs w:val="24"/>
        </w:rPr>
        <w:t>牵头方的全称</w:t>
      </w:r>
      <w:r>
        <w:rPr>
          <w:rFonts w:hint="eastAsia" w:ascii="宋体" w:hAnsi="宋体" w:eastAsia="宋体" w:cs="宋体"/>
          <w:color w:val="auto"/>
          <w:sz w:val="24"/>
          <w:szCs w:val="24"/>
        </w:rPr>
        <w:t>并加注</w:t>
      </w:r>
      <w:r>
        <w:rPr>
          <w:rStyle w:val="14"/>
          <w:rFonts w:hint="eastAsia" w:ascii="宋体" w:hAnsi="宋体" w:eastAsia="宋体" w:cs="宋体"/>
          <w:b/>
          <w:bCs/>
          <w:color w:val="auto"/>
          <w:sz w:val="24"/>
          <w:szCs w:val="24"/>
        </w:rPr>
        <w:t>（联合体牵头方）</w:t>
      </w:r>
      <w:r>
        <w:rPr>
          <w:rFonts w:hint="eastAsia" w:ascii="宋体" w:hAnsi="宋体" w:eastAsia="宋体" w:cs="宋体"/>
          <w:color w:val="auto"/>
          <w:sz w:val="24"/>
          <w:szCs w:val="24"/>
        </w:rPr>
        <w:t>，即应表述为：</w:t>
      </w:r>
      <w:r>
        <w:rPr>
          <w:rStyle w:val="14"/>
          <w:rFonts w:hint="eastAsia" w:ascii="宋体" w:hAnsi="宋体" w:eastAsia="宋体" w:cs="宋体"/>
          <w:b/>
          <w:bCs/>
          <w:color w:val="auto"/>
          <w:sz w:val="24"/>
          <w:szCs w:val="24"/>
        </w:rPr>
        <w:t>“牵头方的全称（联合体牵头方）”</w:t>
      </w:r>
      <w:r>
        <w:rPr>
          <w:rFonts w:hint="eastAsia" w:ascii="宋体" w:hAnsi="宋体" w:eastAsia="宋体" w:cs="宋体"/>
          <w:color w:val="auto"/>
          <w:sz w:val="24"/>
          <w:szCs w:val="24"/>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1.2涉及投标人</w:t>
      </w:r>
      <w:r>
        <w:rPr>
          <w:rStyle w:val="14"/>
          <w:rFonts w:hint="eastAsia" w:ascii="宋体" w:hAnsi="宋体" w:eastAsia="宋体" w:cs="宋体"/>
          <w:b/>
          <w:bCs/>
          <w:color w:val="auto"/>
          <w:sz w:val="24"/>
          <w:szCs w:val="24"/>
        </w:rPr>
        <w:t>“加盖单位公章”</w:t>
      </w:r>
      <w:r>
        <w:rPr>
          <w:rFonts w:hint="eastAsia" w:ascii="宋体" w:hAnsi="宋体" w:eastAsia="宋体" w:cs="宋体"/>
          <w:color w:val="auto"/>
          <w:sz w:val="24"/>
          <w:szCs w:val="24"/>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（1）不接受联合体投标的，指</w:t>
      </w:r>
      <w:r>
        <w:rPr>
          <w:rStyle w:val="14"/>
          <w:rFonts w:hint="eastAsia" w:ascii="宋体" w:hAnsi="宋体" w:eastAsia="宋体" w:cs="宋体"/>
          <w:b/>
          <w:bCs/>
          <w:color w:val="auto"/>
          <w:sz w:val="24"/>
          <w:szCs w:val="24"/>
        </w:rPr>
        <w:t>加盖投标人的单位公章</w:t>
      </w:r>
      <w:r>
        <w:rPr>
          <w:rFonts w:hint="eastAsia" w:ascii="宋体" w:hAnsi="宋体" w:eastAsia="宋体" w:cs="宋体"/>
          <w:color w:val="auto"/>
          <w:sz w:val="24"/>
          <w:szCs w:val="24"/>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（2）接受联合体投标且投标人为联合体的，指</w:t>
      </w:r>
      <w:r>
        <w:rPr>
          <w:rStyle w:val="14"/>
          <w:rFonts w:hint="eastAsia" w:ascii="宋体" w:hAnsi="宋体" w:eastAsia="宋体" w:cs="宋体"/>
          <w:b/>
          <w:bCs/>
          <w:color w:val="auto"/>
          <w:sz w:val="24"/>
          <w:szCs w:val="24"/>
        </w:rPr>
        <w:t>加盖联合体牵头方的单位公章</w:t>
      </w:r>
      <w:r>
        <w:rPr>
          <w:rFonts w:hint="eastAsia" w:ascii="宋体" w:hAnsi="宋体" w:eastAsia="宋体" w:cs="宋体"/>
          <w:color w:val="auto"/>
          <w:sz w:val="24"/>
          <w:szCs w:val="24"/>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1.3涉及</w:t>
      </w:r>
      <w:r>
        <w:rPr>
          <w:rStyle w:val="14"/>
          <w:rFonts w:hint="eastAsia" w:ascii="宋体" w:hAnsi="宋体" w:eastAsia="宋体" w:cs="宋体"/>
          <w:b/>
          <w:bCs/>
          <w:color w:val="auto"/>
          <w:sz w:val="24"/>
          <w:szCs w:val="24"/>
        </w:rPr>
        <w:t>“投标人代表签字”</w:t>
      </w:r>
      <w:r>
        <w:rPr>
          <w:rFonts w:hint="eastAsia" w:ascii="宋体" w:hAnsi="宋体" w:eastAsia="宋体" w:cs="宋体"/>
          <w:color w:val="auto"/>
          <w:sz w:val="24"/>
          <w:szCs w:val="24"/>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（1）不接受联合体投标的，指由</w:t>
      </w:r>
      <w:r>
        <w:rPr>
          <w:rStyle w:val="14"/>
          <w:rFonts w:hint="eastAsia" w:ascii="宋体" w:hAnsi="宋体" w:eastAsia="宋体" w:cs="宋体"/>
          <w:b/>
          <w:bCs/>
          <w:color w:val="auto"/>
          <w:sz w:val="24"/>
          <w:szCs w:val="24"/>
        </w:rPr>
        <w:t>投标人的单位负责人或其授权的委托代理人签字</w:t>
      </w:r>
      <w:r>
        <w:rPr>
          <w:rFonts w:hint="eastAsia" w:ascii="宋体" w:hAnsi="宋体" w:eastAsia="宋体" w:cs="宋体"/>
          <w:color w:val="auto"/>
          <w:sz w:val="24"/>
          <w:szCs w:val="24"/>
        </w:rPr>
        <w:t>，由委托代理人签字的，应提供“单位授权书”。</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（2）接受联合体投标且投标人为联合体的，指由</w:t>
      </w:r>
      <w:r>
        <w:rPr>
          <w:rStyle w:val="14"/>
          <w:rFonts w:hint="eastAsia" w:ascii="宋体" w:hAnsi="宋体" w:eastAsia="宋体" w:cs="宋体"/>
          <w:b/>
          <w:bCs/>
          <w:color w:val="auto"/>
          <w:sz w:val="24"/>
          <w:szCs w:val="24"/>
        </w:rPr>
        <w:t>联合体牵头方的单位负责人或其授权的委托代理人签字</w:t>
      </w:r>
      <w:r>
        <w:rPr>
          <w:rFonts w:hint="eastAsia" w:ascii="宋体" w:hAnsi="宋体" w:eastAsia="宋体" w:cs="宋体"/>
          <w:color w:val="auto"/>
          <w:sz w:val="24"/>
          <w:szCs w:val="24"/>
        </w:rPr>
        <w:t>，由委托代理人签字的，应提供“单位授权书”。</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w:t>
      </w:r>
      <w:r>
        <w:rPr>
          <w:rStyle w:val="14"/>
          <w:rFonts w:hint="eastAsia" w:ascii="宋体" w:hAnsi="宋体" w:eastAsia="宋体" w:cs="宋体"/>
          <w:b/>
          <w:bCs/>
          <w:color w:val="auto"/>
          <w:sz w:val="24"/>
          <w:szCs w:val="24"/>
        </w:rPr>
        <w:t>“其他组织”</w:t>
      </w:r>
      <w:r>
        <w:rPr>
          <w:rFonts w:hint="eastAsia" w:ascii="宋体" w:hAnsi="宋体" w:eastAsia="宋体" w:cs="宋体"/>
          <w:color w:val="auto"/>
          <w:sz w:val="24"/>
          <w:szCs w:val="24"/>
        </w:rPr>
        <w:t>指合伙企业、非企业专业服务机构、个体工商户、农村承包经营户等。</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w:t>
      </w:r>
      <w:r>
        <w:rPr>
          <w:rStyle w:val="14"/>
          <w:rFonts w:hint="eastAsia" w:ascii="宋体" w:hAnsi="宋体" w:eastAsia="宋体" w:cs="宋体"/>
          <w:b/>
          <w:bCs/>
          <w:color w:val="auto"/>
          <w:sz w:val="24"/>
          <w:szCs w:val="24"/>
        </w:rPr>
        <w:t>“自然人”</w:t>
      </w:r>
      <w:r>
        <w:rPr>
          <w:rFonts w:hint="eastAsia" w:ascii="宋体" w:hAnsi="宋体" w:eastAsia="宋体" w:cs="宋体"/>
          <w:color w:val="auto"/>
          <w:sz w:val="24"/>
          <w:szCs w:val="24"/>
        </w:rPr>
        <w:t>指具有完全民事行为能力、能够承担民事责任和义务的中国公民。</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2、除招标文件另有规定外，本章中</w:t>
      </w:r>
      <w:r>
        <w:rPr>
          <w:rStyle w:val="14"/>
          <w:rFonts w:hint="eastAsia" w:ascii="宋体" w:hAnsi="宋体" w:eastAsia="宋体" w:cs="宋体"/>
          <w:b/>
          <w:bCs/>
          <w:color w:val="auto"/>
          <w:sz w:val="24"/>
          <w:szCs w:val="24"/>
        </w:rPr>
        <w:t>“投标人的资格及资信证明文件”</w:t>
      </w:r>
      <w:r>
        <w:rPr>
          <w:rFonts w:hint="eastAsia" w:ascii="宋体" w:hAnsi="宋体" w:eastAsia="宋体" w:cs="宋体"/>
          <w:color w:val="auto"/>
          <w:sz w:val="24"/>
          <w:szCs w:val="24"/>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2.1投标人应按照招标文件第四章第1.3条第（2）款规定及本章规定进行编制，如有必要，可增加附页，附页作为资格及资信文件的组成部分。</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2.2接受联合体投标且投标人为联合体的，联合体中的各方均应按照本章第2.1条规定提交相应的全部资料。</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3、投标人对电子投标文件的索引应编制页码。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4、本章提供格式仅供参考，投标人应根据自身实际情况制作电子投标文件。</w:t>
      </w: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rPr>
          <w:rStyle w:val="14"/>
          <w:rFonts w:hint="eastAsia" w:ascii="宋体" w:hAnsi="宋体" w:eastAsia="宋体" w:cs="宋体"/>
          <w:b/>
          <w:bCs/>
          <w:color w:val="auto"/>
          <w:sz w:val="24"/>
          <w:szCs w:val="24"/>
        </w:rPr>
      </w:pPr>
      <w:r>
        <w:rPr>
          <w:rStyle w:val="14"/>
          <w:rFonts w:hint="eastAsia" w:ascii="宋体" w:hAnsi="宋体" w:eastAsia="宋体" w:cs="宋体"/>
          <w:b/>
          <w:bCs/>
          <w:color w:val="auto"/>
          <w:sz w:val="24"/>
          <w:szCs w:val="24"/>
        </w:rPr>
        <w:br w:type="page"/>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Style w:val="14"/>
          <w:rFonts w:hint="eastAsia" w:ascii="宋体" w:hAnsi="宋体" w:eastAsia="宋体" w:cs="宋体"/>
          <w:b/>
          <w:bCs/>
          <w:i w:val="0"/>
          <w:iCs w:val="0"/>
          <w:caps w:val="0"/>
          <w:color w:val="auto"/>
          <w:spacing w:val="0"/>
          <w:sz w:val="32"/>
          <w:szCs w:val="32"/>
          <w:shd w:val="clear" w:fill="FFFFFF"/>
        </w:rPr>
        <w:t>封面格式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52"/>
          <w:szCs w:val="52"/>
        </w:rPr>
      </w:pPr>
      <w:r>
        <w:rPr>
          <w:rStyle w:val="14"/>
          <w:rFonts w:hint="eastAsia" w:ascii="宋体" w:hAnsi="宋体" w:eastAsia="宋体" w:cs="宋体"/>
          <w:b/>
          <w:bCs/>
          <w:i w:val="0"/>
          <w:iCs w:val="0"/>
          <w:caps w:val="0"/>
          <w:color w:val="auto"/>
          <w:spacing w:val="0"/>
          <w:sz w:val="52"/>
          <w:szCs w:val="52"/>
          <w:shd w:val="clear" w:fill="FFFFFF"/>
        </w:rPr>
        <w:t>福建省政府采购投标文件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52"/>
          <w:szCs w:val="52"/>
        </w:rPr>
      </w:pPr>
      <w:r>
        <w:rPr>
          <w:rStyle w:val="14"/>
          <w:rFonts w:hint="eastAsia" w:ascii="宋体" w:hAnsi="宋体" w:eastAsia="宋体" w:cs="宋体"/>
          <w:b/>
          <w:bCs/>
          <w:i w:val="0"/>
          <w:iCs w:val="0"/>
          <w:caps w:val="0"/>
          <w:color w:val="auto"/>
          <w:spacing w:val="0"/>
          <w:sz w:val="52"/>
          <w:szCs w:val="52"/>
          <w:shd w:val="clear" w:fill="FFFFFF"/>
        </w:rPr>
        <w:t>（资格及资信证明部分）</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52"/>
          <w:szCs w:val="52"/>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52"/>
          <w:szCs w:val="52"/>
        </w:rPr>
      </w:pPr>
      <w:r>
        <w:rPr>
          <w:rStyle w:val="14"/>
          <w:rFonts w:hint="eastAsia" w:ascii="宋体" w:hAnsi="宋体" w:eastAsia="宋体" w:cs="宋体"/>
          <w:b/>
          <w:bCs/>
          <w:i w:val="0"/>
          <w:iCs w:val="0"/>
          <w:caps w:val="0"/>
          <w:color w:val="auto"/>
          <w:spacing w:val="0"/>
          <w:sz w:val="52"/>
          <w:szCs w:val="52"/>
          <w:u w:val="single"/>
          <w:shd w:val="clear" w:fill="FFFFFF"/>
        </w:rPr>
        <w:t>（填写正本或副本）</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Style w:val="14"/>
          <w:rFonts w:hint="eastAsia" w:ascii="宋体" w:hAnsi="宋体" w:eastAsia="宋体" w:cs="宋体"/>
          <w:b/>
          <w:bCs/>
          <w:i w:val="0"/>
          <w:iCs w:val="0"/>
          <w:caps w:val="0"/>
          <w:color w:val="auto"/>
          <w:spacing w:val="0"/>
          <w:sz w:val="32"/>
          <w:szCs w:val="32"/>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Style w:val="14"/>
          <w:rFonts w:hint="eastAsia" w:ascii="宋体" w:hAnsi="宋体" w:eastAsia="宋体" w:cs="宋体"/>
          <w:b/>
          <w:bCs/>
          <w:i w:val="0"/>
          <w:iCs w:val="0"/>
          <w:caps w:val="0"/>
          <w:color w:val="auto"/>
          <w:spacing w:val="0"/>
          <w:sz w:val="32"/>
          <w:szCs w:val="32"/>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宋体" w:hAnsi="宋体" w:eastAsia="宋体" w:cs="宋体"/>
          <w:color w:val="auto"/>
          <w:sz w:val="32"/>
          <w:szCs w:val="32"/>
        </w:rPr>
      </w:pPr>
      <w:r>
        <w:rPr>
          <w:rStyle w:val="14"/>
          <w:rFonts w:hint="eastAsia" w:ascii="宋体" w:hAnsi="宋体" w:eastAsia="宋体" w:cs="宋体"/>
          <w:b/>
          <w:bCs/>
          <w:i w:val="0"/>
          <w:iCs w:val="0"/>
          <w:caps w:val="0"/>
          <w:color w:val="auto"/>
          <w:spacing w:val="0"/>
          <w:sz w:val="32"/>
          <w:szCs w:val="32"/>
          <w:shd w:val="clear" w:fill="FFFFFF"/>
        </w:rPr>
        <w:t>项目名称：</w:t>
      </w:r>
      <w:r>
        <w:rPr>
          <w:rStyle w:val="14"/>
          <w:rFonts w:hint="eastAsia" w:ascii="宋体" w:hAnsi="宋体" w:eastAsia="宋体" w:cs="宋体"/>
          <w:b/>
          <w:bCs/>
          <w:i w:val="0"/>
          <w:iCs w:val="0"/>
          <w:caps w:val="0"/>
          <w:color w:val="auto"/>
          <w:spacing w:val="0"/>
          <w:sz w:val="32"/>
          <w:szCs w:val="32"/>
          <w:u w:val="single"/>
          <w:shd w:val="clear" w:fill="FFFFFF"/>
        </w:rPr>
        <w:t>（由投标人填写）</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宋体" w:hAnsi="宋体" w:eastAsia="宋体" w:cs="宋体"/>
          <w:color w:val="auto"/>
          <w:sz w:val="32"/>
          <w:szCs w:val="32"/>
        </w:rPr>
      </w:pPr>
      <w:r>
        <w:rPr>
          <w:rStyle w:val="14"/>
          <w:rFonts w:hint="eastAsia" w:ascii="宋体" w:hAnsi="宋体" w:eastAsia="宋体" w:cs="宋体"/>
          <w:b/>
          <w:bCs/>
          <w:i w:val="0"/>
          <w:iCs w:val="0"/>
          <w:caps w:val="0"/>
          <w:color w:val="auto"/>
          <w:spacing w:val="0"/>
          <w:sz w:val="32"/>
          <w:szCs w:val="32"/>
          <w:shd w:val="clear" w:fill="FFFFFF"/>
        </w:rPr>
        <w:t>备案编号：</w:t>
      </w:r>
      <w:r>
        <w:rPr>
          <w:rStyle w:val="14"/>
          <w:rFonts w:hint="eastAsia" w:ascii="宋体" w:hAnsi="宋体" w:eastAsia="宋体" w:cs="宋体"/>
          <w:b/>
          <w:bCs/>
          <w:i w:val="0"/>
          <w:iCs w:val="0"/>
          <w:caps w:val="0"/>
          <w:color w:val="auto"/>
          <w:spacing w:val="0"/>
          <w:sz w:val="32"/>
          <w:szCs w:val="32"/>
          <w:u w:val="single"/>
          <w:shd w:val="clear" w:fill="FFFFFF"/>
        </w:rPr>
        <w:t>（由投标人填写）</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宋体" w:hAnsi="宋体" w:eastAsia="宋体" w:cs="宋体"/>
          <w:color w:val="auto"/>
          <w:sz w:val="32"/>
          <w:szCs w:val="32"/>
        </w:rPr>
      </w:pPr>
      <w:r>
        <w:rPr>
          <w:rStyle w:val="14"/>
          <w:rFonts w:hint="eastAsia" w:ascii="宋体" w:hAnsi="宋体" w:eastAsia="宋体" w:cs="宋体"/>
          <w:b/>
          <w:bCs/>
          <w:i w:val="0"/>
          <w:iCs w:val="0"/>
          <w:caps w:val="0"/>
          <w:color w:val="auto"/>
          <w:spacing w:val="0"/>
          <w:sz w:val="32"/>
          <w:szCs w:val="32"/>
          <w:shd w:val="clear" w:fill="FFFFFF"/>
        </w:rPr>
        <w:t>项目编号：</w:t>
      </w:r>
      <w:r>
        <w:rPr>
          <w:rStyle w:val="14"/>
          <w:rFonts w:hint="eastAsia" w:ascii="宋体" w:hAnsi="宋体" w:eastAsia="宋体" w:cs="宋体"/>
          <w:b/>
          <w:bCs/>
          <w:i w:val="0"/>
          <w:iCs w:val="0"/>
          <w:caps w:val="0"/>
          <w:color w:val="auto"/>
          <w:spacing w:val="0"/>
          <w:sz w:val="32"/>
          <w:szCs w:val="32"/>
          <w:u w:val="single"/>
          <w:shd w:val="clear" w:fill="FFFFFF"/>
        </w:rPr>
        <w:t>（由投标人填写）</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宋体" w:hAnsi="宋体" w:eastAsia="宋体" w:cs="宋体"/>
          <w:color w:val="auto"/>
          <w:sz w:val="32"/>
          <w:szCs w:val="32"/>
        </w:rPr>
      </w:pPr>
      <w:r>
        <w:rPr>
          <w:rStyle w:val="14"/>
          <w:rFonts w:hint="eastAsia" w:ascii="宋体" w:hAnsi="宋体" w:eastAsia="宋体" w:cs="宋体"/>
          <w:b/>
          <w:bCs/>
          <w:i w:val="0"/>
          <w:iCs w:val="0"/>
          <w:caps w:val="0"/>
          <w:color w:val="auto"/>
          <w:spacing w:val="0"/>
          <w:sz w:val="32"/>
          <w:szCs w:val="32"/>
          <w:shd w:val="clear" w:fill="FFFFFF"/>
        </w:rPr>
        <w:t>所投采购包：</w:t>
      </w:r>
      <w:r>
        <w:rPr>
          <w:rStyle w:val="14"/>
          <w:rFonts w:hint="eastAsia" w:ascii="宋体" w:hAnsi="宋体" w:eastAsia="宋体" w:cs="宋体"/>
          <w:b/>
          <w:bCs/>
          <w:i w:val="0"/>
          <w:iCs w:val="0"/>
          <w:caps w:val="0"/>
          <w:color w:val="auto"/>
          <w:spacing w:val="0"/>
          <w:sz w:val="32"/>
          <w:szCs w:val="32"/>
          <w:u w:val="single"/>
          <w:shd w:val="clear" w:fill="FFFFFF"/>
        </w:rPr>
        <w:t>（由投标人填写）</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32"/>
          <w:szCs w:val="32"/>
        </w:rPr>
      </w:pPr>
      <w:r>
        <w:rPr>
          <w:rStyle w:val="14"/>
          <w:rFonts w:hint="eastAsia" w:ascii="宋体" w:hAnsi="宋体" w:eastAsia="宋体" w:cs="宋体"/>
          <w:b/>
          <w:bCs/>
          <w:i w:val="0"/>
          <w:iCs w:val="0"/>
          <w:caps w:val="0"/>
          <w:color w:val="auto"/>
          <w:spacing w:val="0"/>
          <w:sz w:val="32"/>
          <w:szCs w:val="32"/>
          <w:shd w:val="clear" w:fill="FFFFFF"/>
        </w:rPr>
        <w:t>投标人：</w:t>
      </w:r>
      <w:r>
        <w:rPr>
          <w:rStyle w:val="14"/>
          <w:rFonts w:hint="eastAsia" w:ascii="宋体" w:hAnsi="宋体" w:eastAsia="宋体" w:cs="宋体"/>
          <w:b/>
          <w:bCs/>
          <w:i w:val="0"/>
          <w:iCs w:val="0"/>
          <w:caps w:val="0"/>
          <w:color w:val="auto"/>
          <w:spacing w:val="0"/>
          <w:sz w:val="32"/>
          <w:szCs w:val="32"/>
          <w:u w:val="single"/>
          <w:shd w:val="clear" w:fill="FFFFFF"/>
        </w:rPr>
        <w:t>（填写“全称”）</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32"/>
          <w:szCs w:val="32"/>
        </w:rPr>
      </w:pPr>
      <w:r>
        <w:rPr>
          <w:rStyle w:val="14"/>
          <w:rFonts w:hint="eastAsia" w:ascii="宋体" w:hAnsi="宋体" w:eastAsia="宋体" w:cs="宋体"/>
          <w:b/>
          <w:bCs/>
          <w:i w:val="0"/>
          <w:iCs w:val="0"/>
          <w:caps w:val="0"/>
          <w:color w:val="auto"/>
          <w:spacing w:val="0"/>
          <w:sz w:val="32"/>
          <w:szCs w:val="32"/>
          <w:u w:val="single"/>
          <w:shd w:val="clear" w:fill="FFFFFF"/>
        </w:rPr>
        <w:t>（由投标人填写）</w:t>
      </w:r>
      <w:r>
        <w:rPr>
          <w:rStyle w:val="14"/>
          <w:rFonts w:hint="eastAsia" w:ascii="宋体" w:hAnsi="宋体" w:eastAsia="宋体" w:cs="宋体"/>
          <w:b/>
          <w:bCs/>
          <w:i w:val="0"/>
          <w:iCs w:val="0"/>
          <w:caps w:val="0"/>
          <w:color w:val="auto"/>
          <w:spacing w:val="0"/>
          <w:sz w:val="32"/>
          <w:szCs w:val="32"/>
          <w:shd w:val="clear" w:fill="FFFFFF"/>
        </w:rPr>
        <w:t>年</w:t>
      </w:r>
      <w:r>
        <w:rPr>
          <w:rStyle w:val="14"/>
          <w:rFonts w:hint="eastAsia" w:ascii="宋体" w:hAnsi="宋体" w:eastAsia="宋体" w:cs="宋体"/>
          <w:b/>
          <w:bCs/>
          <w:i w:val="0"/>
          <w:iCs w:val="0"/>
          <w:caps w:val="0"/>
          <w:color w:val="auto"/>
          <w:spacing w:val="0"/>
          <w:sz w:val="32"/>
          <w:szCs w:val="32"/>
          <w:u w:val="single"/>
          <w:shd w:val="clear" w:fill="FFFFFF"/>
        </w:rPr>
        <w:t>（由投标人填写）</w:t>
      </w:r>
      <w:r>
        <w:rPr>
          <w:rStyle w:val="14"/>
          <w:rFonts w:hint="eastAsia" w:ascii="宋体" w:hAnsi="宋体" w:eastAsia="宋体" w:cs="宋体"/>
          <w:b/>
          <w:bCs/>
          <w:i w:val="0"/>
          <w:iCs w:val="0"/>
          <w:caps w:val="0"/>
          <w:color w:val="auto"/>
          <w:spacing w:val="0"/>
          <w:sz w:val="32"/>
          <w:szCs w:val="32"/>
          <w:shd w:val="clear" w:fill="FFFFFF"/>
        </w:rPr>
        <w:t>月</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Style w:val="14"/>
          <w:rFonts w:hint="eastAsia" w:ascii="宋体" w:hAnsi="宋体" w:eastAsia="宋体" w:cs="宋体"/>
          <w:b/>
          <w:bCs/>
          <w:i w:val="0"/>
          <w:iCs w:val="0"/>
          <w:caps w:val="0"/>
          <w:color w:val="auto"/>
          <w:spacing w:val="0"/>
          <w:sz w:val="24"/>
          <w:szCs w:val="24"/>
          <w:shd w:val="clear" w:fill="FFFFFF"/>
        </w:rPr>
        <w:t>索引</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一、投标函</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二、投标人的资格及资信证明文件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三、投标保证金</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※注意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资格及资信证明部分中不得出现报价部分的全部或部分的投标报价信息（或组成资料），否则</w:t>
      </w:r>
      <w:r>
        <w:rPr>
          <w:rStyle w:val="14"/>
          <w:rFonts w:hint="eastAsia" w:ascii="宋体" w:hAnsi="宋体" w:eastAsia="宋体" w:cs="宋体"/>
          <w:b/>
          <w:bCs/>
          <w:i w:val="0"/>
          <w:iCs w:val="0"/>
          <w:caps w:val="0"/>
          <w:color w:val="auto"/>
          <w:spacing w:val="0"/>
          <w:sz w:val="24"/>
          <w:szCs w:val="24"/>
          <w:shd w:val="clear" w:fill="FFFFFF"/>
        </w:rPr>
        <w:t>资格审查不合格</w:t>
      </w:r>
      <w:r>
        <w:rPr>
          <w:rFonts w:hint="eastAsia" w:ascii="宋体" w:hAnsi="宋体" w:eastAsia="宋体" w:cs="宋体"/>
          <w:i w:val="0"/>
          <w:iCs w:val="0"/>
          <w:caps w:val="0"/>
          <w:color w:val="auto"/>
          <w:spacing w:val="0"/>
          <w:sz w:val="24"/>
          <w:szCs w:val="24"/>
          <w:shd w:val="clear" w:fill="FFFFFF"/>
        </w:rPr>
        <w:t>。（联合体协议及分包意向协议中的比例规定，不适用本条款）</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br w:type="textWrapping"/>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Style w:val="14"/>
          <w:rFonts w:hint="eastAsia" w:ascii="宋体" w:hAnsi="宋体" w:eastAsia="宋体" w:cs="宋体"/>
          <w:b/>
          <w:bCs/>
          <w:i w:val="0"/>
          <w:iCs w:val="0"/>
          <w:caps w:val="0"/>
          <w:color w:val="auto"/>
          <w:spacing w:val="0"/>
          <w:sz w:val="24"/>
          <w:szCs w:val="24"/>
          <w:shd w:val="clear" w:fill="FFFFFF"/>
        </w:rPr>
      </w:pPr>
      <w:r>
        <w:rPr>
          <w:rStyle w:val="14"/>
          <w:rFonts w:hint="eastAsia" w:ascii="宋体" w:hAnsi="宋体" w:eastAsia="宋体" w:cs="宋体"/>
          <w:b/>
          <w:bCs/>
          <w:i w:val="0"/>
          <w:iCs w:val="0"/>
          <w:caps w:val="0"/>
          <w:color w:val="auto"/>
          <w:spacing w:val="0"/>
          <w:sz w:val="24"/>
          <w:szCs w:val="24"/>
          <w:shd w:val="clear" w:fill="FFFFFF"/>
        </w:rPr>
        <w:t>投标函</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Style w:val="14"/>
          <w:rFonts w:hint="eastAsia" w:ascii="宋体" w:hAnsi="宋体" w:eastAsia="宋体" w:cs="宋体"/>
          <w:b/>
          <w:bCs/>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致：</w:t>
      </w:r>
      <w:r>
        <w:rPr>
          <w:rFonts w:hint="eastAsia" w:ascii="宋体" w:hAnsi="宋体" w:eastAsia="宋体" w:cs="宋体"/>
          <w:i w:val="0"/>
          <w:iCs w:val="0"/>
          <w:caps w:val="0"/>
          <w:color w:val="auto"/>
          <w:spacing w:val="0"/>
          <w:sz w:val="24"/>
          <w:szCs w:val="24"/>
          <w:u w:val="single"/>
          <w:shd w:val="clear" w:fill="FFFFFF"/>
        </w:rPr>
        <w:t>          （采购人或采购代理机构）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兹收到贵单位关于</w:t>
      </w:r>
      <w:r>
        <w:rPr>
          <w:rFonts w:hint="eastAsia" w:ascii="宋体" w:hAnsi="宋体" w:eastAsia="宋体" w:cs="宋体"/>
          <w:i w:val="0"/>
          <w:iCs w:val="0"/>
          <w:caps w:val="0"/>
          <w:color w:val="auto"/>
          <w:spacing w:val="0"/>
          <w:sz w:val="24"/>
          <w:szCs w:val="24"/>
          <w:u w:val="single"/>
          <w:shd w:val="clear" w:fill="FFFFFF"/>
        </w:rPr>
        <w:t>（填写“项目名称”）</w:t>
      </w:r>
      <w:r>
        <w:rPr>
          <w:rFonts w:hint="eastAsia" w:ascii="宋体" w:hAnsi="宋体" w:eastAsia="宋体" w:cs="宋体"/>
          <w:i w:val="0"/>
          <w:iCs w:val="0"/>
          <w:caps w:val="0"/>
          <w:color w:val="auto"/>
          <w:spacing w:val="0"/>
          <w:sz w:val="24"/>
          <w:szCs w:val="24"/>
          <w:shd w:val="clear" w:fill="FFFFFF"/>
        </w:rPr>
        <w:t>项目（项目编号：</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）的投标邀请，本投标人代表</w:t>
      </w:r>
      <w:r>
        <w:rPr>
          <w:rFonts w:hint="eastAsia" w:ascii="宋体" w:hAnsi="宋体" w:eastAsia="宋体" w:cs="宋体"/>
          <w:i w:val="0"/>
          <w:iCs w:val="0"/>
          <w:caps w:val="0"/>
          <w:color w:val="auto"/>
          <w:spacing w:val="0"/>
          <w:sz w:val="24"/>
          <w:szCs w:val="24"/>
          <w:u w:val="single"/>
          <w:shd w:val="clear" w:fill="FFFFFF"/>
        </w:rPr>
        <w:t>（填写“全名”）</w:t>
      </w:r>
      <w:r>
        <w:rPr>
          <w:rFonts w:hint="eastAsia" w:ascii="宋体" w:hAnsi="宋体" w:eastAsia="宋体" w:cs="宋体"/>
          <w:i w:val="0"/>
          <w:iCs w:val="0"/>
          <w:caps w:val="0"/>
          <w:color w:val="auto"/>
          <w:spacing w:val="0"/>
          <w:sz w:val="24"/>
          <w:szCs w:val="24"/>
          <w:shd w:val="clear" w:fill="FFFFFF"/>
        </w:rPr>
        <w:t>已获得我方正式授权并代表投标人</w:t>
      </w:r>
      <w:r>
        <w:rPr>
          <w:rFonts w:hint="eastAsia" w:ascii="宋体" w:hAnsi="宋体" w:eastAsia="宋体" w:cs="宋体"/>
          <w:i w:val="0"/>
          <w:iCs w:val="0"/>
          <w:caps w:val="0"/>
          <w:color w:val="auto"/>
          <w:spacing w:val="0"/>
          <w:sz w:val="24"/>
          <w:szCs w:val="24"/>
          <w:u w:val="single"/>
          <w:shd w:val="clear" w:fill="FFFFFF"/>
        </w:rPr>
        <w:t>（填写“全称”）</w:t>
      </w:r>
      <w:r>
        <w:rPr>
          <w:rFonts w:hint="eastAsia" w:ascii="宋体" w:hAnsi="宋体" w:eastAsia="宋体" w:cs="宋体"/>
          <w:i w:val="0"/>
          <w:iCs w:val="0"/>
          <w:caps w:val="0"/>
          <w:color w:val="auto"/>
          <w:spacing w:val="0"/>
          <w:sz w:val="24"/>
          <w:szCs w:val="24"/>
          <w:shd w:val="clear" w:fill="FFFFFF"/>
        </w:rPr>
        <w:t>参加投标，并提交招标文件。我方提交的全部投标文件均由下述部分组成：</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（1）资格及资信证明部分</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①投标函</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②投标人的资格及资信证明文件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③投标保证金</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（2）报价部分</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①开标一览表</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②投标分项报价表</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③招标文件规定的价格扣除证明材料（若有）</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④招标文件规定的加分证明材料（若有）</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（3）技术商务部分</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①标的说明一览表</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②技术和服务要求响应表</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③商务条件响应表</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④投标人提交的其他资料（若有）</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根据本函，本投标人代表宣布我方保证遵守招标文件的全部规定，同时：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w:t>
      </w:r>
      <w:r>
        <w:rPr>
          <w:rStyle w:val="14"/>
          <w:rFonts w:hint="eastAsia" w:ascii="宋体" w:hAnsi="宋体" w:eastAsia="宋体" w:cs="宋体"/>
          <w:b/>
          <w:bCs/>
          <w:i w:val="0"/>
          <w:iCs w:val="0"/>
          <w:caps w:val="0"/>
          <w:color w:val="auto"/>
          <w:spacing w:val="0"/>
          <w:sz w:val="24"/>
          <w:szCs w:val="24"/>
          <w:shd w:val="clear" w:fill="FFFFFF"/>
        </w:rPr>
        <w:t>确认：</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1.1所投采购包的投标报价详见“开标一览表”及“投标分项报价表”。</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1.2我方已详细审查全部招标文件[包括但不限于：有关附件（若有）、澄清或修改（若有）等]，并自行承担因对全部招标文件理解不正确或误解而产生的相应后果和责任。</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w:t>
      </w:r>
      <w:r>
        <w:rPr>
          <w:rStyle w:val="14"/>
          <w:rFonts w:hint="eastAsia" w:ascii="宋体" w:hAnsi="宋体" w:eastAsia="宋体" w:cs="宋体"/>
          <w:b/>
          <w:bCs/>
          <w:i w:val="0"/>
          <w:iCs w:val="0"/>
          <w:caps w:val="0"/>
          <w:color w:val="auto"/>
          <w:spacing w:val="0"/>
          <w:sz w:val="24"/>
          <w:szCs w:val="24"/>
          <w:shd w:val="clear" w:fill="FFFFFF"/>
        </w:rPr>
        <w:t>承诺及声明：</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2.1我方具备招标文件第一章载明的“投标人的资格要求”且符合招标文件第三章载明的“二、投标人”之规定，否则</w:t>
      </w:r>
      <w:r>
        <w:rPr>
          <w:rStyle w:val="14"/>
          <w:rFonts w:hint="eastAsia" w:ascii="宋体" w:hAnsi="宋体" w:eastAsia="宋体" w:cs="宋体"/>
          <w:b/>
          <w:bCs/>
          <w:i w:val="0"/>
          <w:iCs w:val="0"/>
          <w:caps w:val="0"/>
          <w:color w:val="auto"/>
          <w:spacing w:val="0"/>
          <w:sz w:val="24"/>
          <w:szCs w:val="24"/>
          <w:shd w:val="clear" w:fill="FFFFFF"/>
        </w:rPr>
        <w:t>投标无效。</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2.2我方提交的投标文件各组成部分的全部内容及资料是不可割离且真实、有效、准确、完整和不具有任何误导性的，否则产生不利后果由我方承担责任。</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2.3我方提供的标的价格不高于同期市场价格，否则产生不利后果由我方承担责任。</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2.4投标保证金：若出现招标文件第三章规定的不予退还情形，同意贵单位不予退还。</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2.5投标有效期：按照招标文件第三章规定执行，并在招标文件第二章载明的期限内保持有效。</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2.6若中标，将按照招标文件、我方投标文件及政府采购合同履行责任和义务。</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2.7若贵单位要求，我方同意提供与本项目投标有关的一切资料、数据或文件，并完全理解贵单位不一定要接受最低的投标报价或收到的任何投标。</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  2.8我方承诺投标文件所提供的全部资料真实可靠，并接受评标委员会、采购人、采购代理机构、监管部门进一步审查其中任何资料真实性的要求。</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2.9除招标文件另有规定外，对于贵单位按照下述联络方式发出的任何信息或通知，均视为我方已收悉前述信息或通知的全部内容：</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u w:val="none"/>
          <w:shd w:val="clear" w:fill="FFFFFF"/>
        </w:rPr>
        <w:t>通信地址：                                        </w:t>
      </w:r>
      <w:r>
        <w:rPr>
          <w:rFonts w:hint="eastAsia" w:ascii="宋体" w:hAnsi="宋体" w:eastAsia="宋体" w:cs="宋体"/>
          <w:i w:val="0"/>
          <w:iCs w:val="0"/>
          <w:caps w:val="0"/>
          <w:color w:val="auto"/>
          <w:spacing w:val="0"/>
          <w:sz w:val="24"/>
          <w:szCs w:val="24"/>
          <w:u w:val="none"/>
          <w:shd w:val="clear" w:fill="FFFFFF"/>
        </w:rPr>
        <w:br w:type="textWrapping"/>
      </w:r>
      <w:r>
        <w:rPr>
          <w:rFonts w:hint="eastAsia" w:ascii="宋体" w:hAnsi="宋体" w:eastAsia="宋体" w:cs="宋体"/>
          <w:i w:val="0"/>
          <w:iCs w:val="0"/>
          <w:caps w:val="0"/>
          <w:color w:val="auto"/>
          <w:spacing w:val="0"/>
          <w:sz w:val="24"/>
          <w:szCs w:val="24"/>
          <w:u w:val="none"/>
          <w:shd w:val="clear" w:fill="FFFFFF"/>
        </w:rPr>
        <w:t>  邮编：                                           </w:t>
      </w:r>
      <w:r>
        <w:rPr>
          <w:rFonts w:hint="eastAsia" w:ascii="宋体" w:hAnsi="宋体" w:eastAsia="宋体" w:cs="宋体"/>
          <w:i w:val="0"/>
          <w:iCs w:val="0"/>
          <w:caps w:val="0"/>
          <w:color w:val="auto"/>
          <w:spacing w:val="0"/>
          <w:sz w:val="24"/>
          <w:szCs w:val="24"/>
          <w:u w:val="none"/>
          <w:shd w:val="clear" w:fill="FFFFFF"/>
        </w:rPr>
        <w:br w:type="textWrapping"/>
      </w:r>
      <w:r>
        <w:rPr>
          <w:rFonts w:hint="eastAsia" w:ascii="宋体" w:hAnsi="宋体" w:eastAsia="宋体" w:cs="宋体"/>
          <w:i w:val="0"/>
          <w:iCs w:val="0"/>
          <w:caps w:val="0"/>
          <w:color w:val="auto"/>
          <w:spacing w:val="0"/>
          <w:sz w:val="24"/>
          <w:szCs w:val="24"/>
          <w:u w:val="none"/>
          <w:shd w:val="clear" w:fill="FFFFFF"/>
        </w:rPr>
        <w:t>  联系方法：（包括但不限于：联系人、联系电话、手机、传真、电子邮箱等）</w:t>
      </w:r>
      <w:r>
        <w:rPr>
          <w:rFonts w:hint="eastAsia" w:ascii="宋体" w:hAnsi="宋体" w:eastAsia="宋体" w:cs="宋体"/>
          <w:i w:val="0"/>
          <w:iCs w:val="0"/>
          <w:caps w:val="0"/>
          <w:color w:val="auto"/>
          <w:spacing w:val="0"/>
          <w:sz w:val="24"/>
          <w:szCs w:val="24"/>
          <w:u w:val="none"/>
          <w:shd w:val="clear" w:fill="FFFFFF"/>
        </w:rPr>
        <w:br w:type="textWrapping"/>
      </w:r>
      <w:r>
        <w:rPr>
          <w:rFonts w:hint="eastAsia" w:ascii="宋体" w:hAnsi="宋体" w:eastAsia="宋体" w:cs="宋体"/>
          <w:i w:val="0"/>
          <w:iCs w:val="0"/>
          <w:caps w:val="0"/>
          <w:color w:val="auto"/>
          <w:spacing w:val="0"/>
          <w:sz w:val="24"/>
          <w:szCs w:val="24"/>
          <w:u w:val="none"/>
          <w:shd w:val="clear" w:fill="FFFFFF"/>
        </w:rPr>
        <w:t>  投标人：（全称并加盖单位公章）</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u w:val="none"/>
          <w:shd w:val="clear" w:fill="FFFFFF"/>
        </w:rPr>
        <w:t>日期：    年   月   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br w:type="textWrapping"/>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Style w:val="14"/>
          <w:rFonts w:hint="eastAsia" w:ascii="宋体" w:hAnsi="宋体" w:eastAsia="宋体" w:cs="宋体"/>
          <w:b/>
          <w:bCs/>
          <w:i w:val="0"/>
          <w:iCs w:val="0"/>
          <w:caps w:val="0"/>
          <w:color w:val="auto"/>
          <w:spacing w:val="0"/>
          <w:sz w:val="24"/>
          <w:szCs w:val="24"/>
          <w:shd w:val="clear" w:fill="FFFFFF"/>
        </w:rPr>
        <w:t>二、投标人的资格及资信证明文件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Style w:val="14"/>
          <w:rFonts w:hint="eastAsia" w:ascii="宋体" w:hAnsi="宋体" w:eastAsia="宋体" w:cs="宋体"/>
          <w:b/>
          <w:bCs/>
          <w:i w:val="0"/>
          <w:iCs w:val="0"/>
          <w:caps w:val="0"/>
          <w:color w:val="auto"/>
          <w:spacing w:val="0"/>
          <w:sz w:val="24"/>
          <w:szCs w:val="24"/>
          <w:shd w:val="clear" w:fill="FFFFFF"/>
        </w:rPr>
        <w:t>二-1单位授权书（若有）</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致：</w:t>
      </w:r>
      <w:r>
        <w:rPr>
          <w:rFonts w:hint="eastAsia" w:ascii="宋体" w:hAnsi="宋体" w:eastAsia="宋体" w:cs="宋体"/>
          <w:i w:val="0"/>
          <w:iCs w:val="0"/>
          <w:caps w:val="0"/>
          <w:color w:val="auto"/>
          <w:spacing w:val="0"/>
          <w:sz w:val="24"/>
          <w:szCs w:val="24"/>
          <w:u w:val="single"/>
          <w:shd w:val="clear" w:fill="FFFFFF"/>
        </w:rPr>
        <w:t>            （采购人或采购代理机构）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我方的单位负责人</w:t>
      </w:r>
      <w:r>
        <w:rPr>
          <w:rFonts w:hint="eastAsia" w:ascii="宋体" w:hAnsi="宋体" w:eastAsia="宋体" w:cs="宋体"/>
          <w:i w:val="0"/>
          <w:iCs w:val="0"/>
          <w:caps w:val="0"/>
          <w:color w:val="auto"/>
          <w:spacing w:val="0"/>
          <w:sz w:val="24"/>
          <w:szCs w:val="24"/>
          <w:u w:val="single"/>
          <w:shd w:val="clear" w:fill="FFFFFF"/>
        </w:rPr>
        <w:t>（填写“单位负责人全名”）</w:t>
      </w:r>
      <w:r>
        <w:rPr>
          <w:rFonts w:hint="eastAsia" w:ascii="宋体" w:hAnsi="宋体" w:eastAsia="宋体" w:cs="宋体"/>
          <w:i w:val="0"/>
          <w:iCs w:val="0"/>
          <w:caps w:val="0"/>
          <w:color w:val="auto"/>
          <w:spacing w:val="0"/>
          <w:sz w:val="24"/>
          <w:szCs w:val="24"/>
          <w:shd w:val="clear" w:fill="FFFFFF"/>
        </w:rPr>
        <w:t>授权</w:t>
      </w:r>
      <w:r>
        <w:rPr>
          <w:rFonts w:hint="eastAsia" w:ascii="宋体" w:hAnsi="宋体" w:eastAsia="宋体" w:cs="宋体"/>
          <w:i w:val="0"/>
          <w:iCs w:val="0"/>
          <w:caps w:val="0"/>
          <w:color w:val="auto"/>
          <w:spacing w:val="0"/>
          <w:sz w:val="24"/>
          <w:szCs w:val="24"/>
          <w:u w:val="single"/>
          <w:shd w:val="clear" w:fill="FFFFFF"/>
        </w:rPr>
        <w:t>（填写“投标人代表全名”）</w:t>
      </w:r>
      <w:r>
        <w:rPr>
          <w:rFonts w:hint="eastAsia" w:ascii="宋体" w:hAnsi="宋体" w:eastAsia="宋体" w:cs="宋体"/>
          <w:i w:val="0"/>
          <w:iCs w:val="0"/>
          <w:caps w:val="0"/>
          <w:color w:val="auto"/>
          <w:spacing w:val="0"/>
          <w:sz w:val="24"/>
          <w:szCs w:val="24"/>
          <w:shd w:val="clear" w:fill="FFFFFF"/>
        </w:rPr>
        <w:t>为投标人代表，代表我方参加</w:t>
      </w:r>
      <w:r>
        <w:rPr>
          <w:rFonts w:hint="eastAsia" w:ascii="宋体" w:hAnsi="宋体" w:eastAsia="宋体" w:cs="宋体"/>
          <w:i w:val="0"/>
          <w:iCs w:val="0"/>
          <w:caps w:val="0"/>
          <w:color w:val="auto"/>
          <w:spacing w:val="0"/>
          <w:sz w:val="24"/>
          <w:szCs w:val="24"/>
          <w:u w:val="single"/>
          <w:shd w:val="clear" w:fill="FFFFFF"/>
        </w:rPr>
        <w:t>（填写“项目名称”）</w:t>
      </w:r>
      <w:r>
        <w:rPr>
          <w:rFonts w:hint="eastAsia" w:ascii="宋体" w:hAnsi="宋体" w:eastAsia="宋体" w:cs="宋体"/>
          <w:i w:val="0"/>
          <w:iCs w:val="0"/>
          <w:caps w:val="0"/>
          <w:color w:val="auto"/>
          <w:spacing w:val="0"/>
          <w:sz w:val="24"/>
          <w:szCs w:val="24"/>
          <w:shd w:val="clear" w:fill="FFFFFF"/>
        </w:rPr>
        <w:t>项目（项目编号：</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投标人代表无转委权。特此授权。</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（以下无正文）</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单位负责人：</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身份证号：</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手机：</w:t>
      </w:r>
      <w:r>
        <w:rPr>
          <w:rFonts w:hint="eastAsia" w:ascii="宋体" w:hAnsi="宋体" w:eastAsia="宋体" w:cs="宋体"/>
          <w:i w:val="0"/>
          <w:iCs w:val="0"/>
          <w:caps w:val="0"/>
          <w:color w:val="auto"/>
          <w:spacing w:val="0"/>
          <w:sz w:val="24"/>
          <w:szCs w:val="24"/>
          <w:u w:val="single"/>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投标人代表：</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身份证号：</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手机：</w:t>
      </w:r>
      <w:r>
        <w:rPr>
          <w:rFonts w:hint="eastAsia" w:ascii="宋体" w:hAnsi="宋体" w:eastAsia="宋体" w:cs="宋体"/>
          <w:i w:val="0"/>
          <w:iCs w:val="0"/>
          <w:caps w:val="0"/>
          <w:color w:val="auto"/>
          <w:spacing w:val="0"/>
          <w:sz w:val="24"/>
          <w:szCs w:val="24"/>
          <w:u w:val="single"/>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授权方</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投标人：</w:t>
      </w:r>
      <w:r>
        <w:rPr>
          <w:rFonts w:hint="eastAsia" w:ascii="宋体" w:hAnsi="宋体" w:eastAsia="宋体" w:cs="宋体"/>
          <w:i w:val="0"/>
          <w:iCs w:val="0"/>
          <w:caps w:val="0"/>
          <w:color w:val="auto"/>
          <w:spacing w:val="0"/>
          <w:sz w:val="24"/>
          <w:szCs w:val="24"/>
          <w:u w:val="single"/>
          <w:shd w:val="clear" w:fill="FFFFFF"/>
        </w:rPr>
        <w:t>（全称并加盖单位公章）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签署日期：</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年</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附：单位负责人、投标人代表的身份证正反面复印件</w:t>
      </w:r>
    </w:p>
    <w:tbl>
      <w:tblPr>
        <w:tblStyle w:val="11"/>
        <w:tblW w:w="9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9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9386"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Style w:val="14"/>
                <w:rFonts w:hint="eastAsia" w:ascii="宋体" w:hAnsi="宋体" w:eastAsia="宋体" w:cs="宋体"/>
                <w:b/>
                <w:bCs/>
                <w:color w:val="auto"/>
                <w:sz w:val="24"/>
                <w:szCs w:val="24"/>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Style w:val="14"/>
                <w:rFonts w:hint="eastAsia" w:ascii="宋体" w:hAnsi="宋体" w:eastAsia="宋体" w:cs="宋体"/>
                <w:b/>
                <w:bCs/>
                <w:color w:val="auto"/>
                <w:sz w:val="24"/>
                <w:szCs w:val="24"/>
              </w:rPr>
              <w:t>要求：真实有效且内容完整、清晰、整洁。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Style w:val="14"/>
                <w:rFonts w:hint="eastAsia" w:ascii="宋体" w:hAnsi="宋体" w:eastAsia="宋体" w:cs="宋体"/>
                <w:b/>
                <w:bCs/>
                <w:color w:val="auto"/>
                <w:sz w:val="24"/>
                <w:szCs w:val="24"/>
              </w:rPr>
              <w:t> </w:t>
            </w:r>
          </w:p>
        </w:tc>
      </w:tr>
    </w:tbl>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※注意：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1、企业（银行、保险、石油石化、电力、电信等行业除外）、事业单位和社会团体法人的“单位负责人”指</w:t>
      </w:r>
      <w:r>
        <w:rPr>
          <w:rStyle w:val="14"/>
          <w:rFonts w:hint="eastAsia" w:ascii="宋体" w:hAnsi="宋体" w:eastAsia="宋体" w:cs="宋体"/>
          <w:b/>
          <w:bCs/>
          <w:i w:val="0"/>
          <w:iCs w:val="0"/>
          <w:caps w:val="0"/>
          <w:color w:val="auto"/>
          <w:spacing w:val="0"/>
          <w:sz w:val="24"/>
          <w:szCs w:val="24"/>
          <w:shd w:val="clear" w:fill="FFFFFF"/>
        </w:rPr>
        <w:t>法定代表人</w:t>
      </w:r>
      <w:r>
        <w:rPr>
          <w:rFonts w:hint="eastAsia" w:ascii="宋体" w:hAnsi="宋体" w:eastAsia="宋体" w:cs="宋体"/>
          <w:i w:val="0"/>
          <w:iCs w:val="0"/>
          <w:caps w:val="0"/>
          <w:color w:val="auto"/>
          <w:spacing w:val="0"/>
          <w:sz w:val="24"/>
          <w:szCs w:val="24"/>
          <w:shd w:val="clear" w:fill="FFFFFF"/>
        </w:rPr>
        <w:t>，即与实际提交的“营业执照等证明文件”载明的一致。</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3、投标人（自然人除外）：若投标人代表为单位授权的委托代理人，应提供本授权书；若投标人代表为单位负责人，应在此项下提交其身份证正反面复印件，可不提供本授权书。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4、投标人为自然人的，可不填写本授权书。</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Style w:val="14"/>
          <w:rFonts w:hint="eastAsia" w:ascii="宋体" w:hAnsi="宋体" w:eastAsia="宋体" w:cs="宋体"/>
          <w:b/>
          <w:bCs/>
          <w:i w:val="0"/>
          <w:iCs w:val="0"/>
          <w:caps w:val="0"/>
          <w:color w:val="auto"/>
          <w:spacing w:val="0"/>
          <w:sz w:val="24"/>
          <w:szCs w:val="24"/>
          <w:shd w:val="clear" w:fill="FFFFFF"/>
        </w:rPr>
      </w:pPr>
      <w:r>
        <w:rPr>
          <w:rStyle w:val="14"/>
          <w:rFonts w:hint="eastAsia" w:ascii="宋体" w:hAnsi="宋体" w:eastAsia="宋体" w:cs="宋体"/>
          <w:b/>
          <w:bCs/>
          <w:i w:val="0"/>
          <w:iCs w:val="0"/>
          <w:caps w:val="0"/>
          <w:color w:val="auto"/>
          <w:spacing w:val="0"/>
          <w:sz w:val="24"/>
          <w:szCs w:val="24"/>
          <w:shd w:val="clear" w:fill="FFFFFF"/>
        </w:rPr>
        <w:t>二-2营业执照等证明文件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Style w:val="14"/>
          <w:rFonts w:hint="eastAsia" w:ascii="宋体" w:hAnsi="宋体" w:eastAsia="宋体" w:cs="宋体"/>
          <w:b/>
          <w:bCs/>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致：</w:t>
      </w:r>
      <w:r>
        <w:rPr>
          <w:rFonts w:hint="eastAsia" w:ascii="宋体" w:hAnsi="宋体" w:eastAsia="宋体" w:cs="宋体"/>
          <w:i w:val="0"/>
          <w:iCs w:val="0"/>
          <w:caps w:val="0"/>
          <w:color w:val="auto"/>
          <w:spacing w:val="0"/>
          <w:sz w:val="24"/>
          <w:szCs w:val="24"/>
          <w:u w:val="single"/>
          <w:shd w:val="clear" w:fill="FFFFFF"/>
        </w:rPr>
        <w:t>            （采购人或采购代理机构）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）投标人为法人（包括企业、事业单位和社会团体）的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现附上由</w:t>
      </w:r>
      <w:r>
        <w:rPr>
          <w:rFonts w:hint="eastAsia" w:ascii="宋体" w:hAnsi="宋体" w:eastAsia="宋体" w:cs="宋体"/>
          <w:i w:val="0"/>
          <w:iCs w:val="0"/>
          <w:caps w:val="0"/>
          <w:color w:val="auto"/>
          <w:spacing w:val="0"/>
          <w:sz w:val="24"/>
          <w:szCs w:val="24"/>
          <w:u w:val="single"/>
          <w:shd w:val="clear" w:fill="FFFFFF"/>
        </w:rPr>
        <w:t>（填写“签发机关全称”）</w:t>
      </w:r>
      <w:r>
        <w:rPr>
          <w:rFonts w:hint="eastAsia" w:ascii="宋体" w:hAnsi="宋体" w:eastAsia="宋体" w:cs="宋体"/>
          <w:i w:val="0"/>
          <w:iCs w:val="0"/>
          <w:caps w:val="0"/>
          <w:color w:val="auto"/>
          <w:spacing w:val="0"/>
          <w:sz w:val="24"/>
          <w:szCs w:val="24"/>
          <w:shd w:val="clear" w:fill="FFFFFF"/>
        </w:rPr>
        <w:t>签发的我方统一社会信用代码</w:t>
      </w:r>
      <w:r>
        <w:rPr>
          <w:rFonts w:hint="eastAsia" w:ascii="宋体" w:hAnsi="宋体" w:eastAsia="宋体" w:cs="宋体"/>
          <w:i w:val="0"/>
          <w:iCs w:val="0"/>
          <w:caps w:val="0"/>
          <w:color w:val="auto"/>
          <w:spacing w:val="0"/>
          <w:sz w:val="24"/>
          <w:szCs w:val="24"/>
          <w:u w:val="single"/>
          <w:shd w:val="clear" w:fill="FFFFFF"/>
        </w:rPr>
        <w:t>（请填写法人的具体证照名称）</w:t>
      </w:r>
      <w:r>
        <w:rPr>
          <w:rFonts w:hint="eastAsia" w:ascii="宋体" w:hAnsi="宋体" w:eastAsia="宋体" w:cs="宋体"/>
          <w:i w:val="0"/>
          <w:iCs w:val="0"/>
          <w:caps w:val="0"/>
          <w:color w:val="auto"/>
          <w:spacing w:val="0"/>
          <w:sz w:val="24"/>
          <w:szCs w:val="24"/>
          <w:shd w:val="clear" w:fill="FFFFFF"/>
        </w:rPr>
        <w:t>复印件，该证明材料真实有效，否则我方负全部责任。</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）投标人为非法人（包括其他组织、自然人）的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□现附上由</w:t>
      </w:r>
      <w:r>
        <w:rPr>
          <w:rFonts w:hint="eastAsia" w:ascii="宋体" w:hAnsi="宋体" w:eastAsia="宋体" w:cs="宋体"/>
          <w:i w:val="0"/>
          <w:iCs w:val="0"/>
          <w:caps w:val="0"/>
          <w:color w:val="auto"/>
          <w:spacing w:val="0"/>
          <w:sz w:val="24"/>
          <w:szCs w:val="24"/>
          <w:u w:val="single"/>
          <w:shd w:val="clear" w:fill="FFFFFF"/>
        </w:rPr>
        <w:t>（填写“签发机关全称”）</w:t>
      </w:r>
      <w:r>
        <w:rPr>
          <w:rFonts w:hint="eastAsia" w:ascii="宋体" w:hAnsi="宋体" w:eastAsia="宋体" w:cs="宋体"/>
          <w:i w:val="0"/>
          <w:iCs w:val="0"/>
          <w:caps w:val="0"/>
          <w:color w:val="auto"/>
          <w:spacing w:val="0"/>
          <w:sz w:val="24"/>
          <w:szCs w:val="24"/>
          <w:shd w:val="clear" w:fill="FFFFFF"/>
        </w:rPr>
        <w:t>签发的我方</w:t>
      </w:r>
      <w:r>
        <w:rPr>
          <w:rFonts w:hint="eastAsia" w:ascii="宋体" w:hAnsi="宋体" w:eastAsia="宋体" w:cs="宋体"/>
          <w:i w:val="0"/>
          <w:iCs w:val="0"/>
          <w:caps w:val="0"/>
          <w:color w:val="auto"/>
          <w:spacing w:val="0"/>
          <w:sz w:val="24"/>
          <w:szCs w:val="24"/>
          <w:u w:val="single"/>
          <w:shd w:val="clear" w:fill="FFFFFF"/>
        </w:rPr>
        <w:t>（请填写非自然人的非法人的具体证照名称）</w:t>
      </w:r>
      <w:r>
        <w:rPr>
          <w:rFonts w:hint="eastAsia" w:ascii="宋体" w:hAnsi="宋体" w:eastAsia="宋体" w:cs="宋体"/>
          <w:i w:val="0"/>
          <w:iCs w:val="0"/>
          <w:caps w:val="0"/>
          <w:color w:val="auto"/>
          <w:spacing w:val="0"/>
          <w:sz w:val="24"/>
          <w:szCs w:val="24"/>
          <w:shd w:val="clear" w:fill="FFFFFF"/>
        </w:rPr>
        <w:t>复印件，该证明材料真实有效，否则我方负全部责任。</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□现附上由</w:t>
      </w:r>
      <w:r>
        <w:rPr>
          <w:rFonts w:hint="eastAsia" w:ascii="宋体" w:hAnsi="宋体" w:eastAsia="宋体" w:cs="宋体"/>
          <w:i w:val="0"/>
          <w:iCs w:val="0"/>
          <w:caps w:val="0"/>
          <w:color w:val="auto"/>
          <w:spacing w:val="0"/>
          <w:sz w:val="24"/>
          <w:szCs w:val="24"/>
          <w:u w:val="single"/>
          <w:shd w:val="clear" w:fill="FFFFFF"/>
        </w:rPr>
        <w:t>（填写“签发机关全称”）</w:t>
      </w:r>
      <w:r>
        <w:rPr>
          <w:rFonts w:hint="eastAsia" w:ascii="宋体" w:hAnsi="宋体" w:eastAsia="宋体" w:cs="宋体"/>
          <w:i w:val="0"/>
          <w:iCs w:val="0"/>
          <w:caps w:val="0"/>
          <w:color w:val="auto"/>
          <w:spacing w:val="0"/>
          <w:sz w:val="24"/>
          <w:szCs w:val="24"/>
          <w:shd w:val="clear" w:fill="FFFFFF"/>
        </w:rPr>
        <w:t>签发的我方</w:t>
      </w:r>
      <w:r>
        <w:rPr>
          <w:rFonts w:hint="eastAsia" w:ascii="宋体" w:hAnsi="宋体" w:eastAsia="宋体" w:cs="宋体"/>
          <w:i w:val="0"/>
          <w:iCs w:val="0"/>
          <w:caps w:val="0"/>
          <w:color w:val="auto"/>
          <w:spacing w:val="0"/>
          <w:sz w:val="24"/>
          <w:szCs w:val="24"/>
          <w:u w:val="single"/>
          <w:shd w:val="clear" w:fill="FFFFFF"/>
        </w:rPr>
        <w:t>（请填写自然人的身份证件名称）</w:t>
      </w:r>
      <w:r>
        <w:rPr>
          <w:rFonts w:hint="eastAsia" w:ascii="宋体" w:hAnsi="宋体" w:eastAsia="宋体" w:cs="宋体"/>
          <w:i w:val="0"/>
          <w:iCs w:val="0"/>
          <w:caps w:val="0"/>
          <w:color w:val="auto"/>
          <w:spacing w:val="0"/>
          <w:sz w:val="24"/>
          <w:szCs w:val="24"/>
          <w:shd w:val="clear" w:fill="FFFFFF"/>
        </w:rPr>
        <w:t>复印件，该证明材料真实有效，否则我方负全部责任。</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※注意：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1、请投标人按照实际情况编制填写，在相应的（）中打“√”并选择相应的“□”（若有）后，再按照本格式的要求提供相应证明材料的复印件。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投标人：</w:t>
      </w:r>
      <w:r>
        <w:rPr>
          <w:rFonts w:hint="eastAsia" w:ascii="宋体" w:hAnsi="宋体" w:eastAsia="宋体" w:cs="宋体"/>
          <w:i w:val="0"/>
          <w:iCs w:val="0"/>
          <w:caps w:val="0"/>
          <w:color w:val="auto"/>
          <w:spacing w:val="0"/>
          <w:sz w:val="24"/>
          <w:szCs w:val="24"/>
          <w:u w:val="single"/>
          <w:shd w:val="clear" w:fill="FFFFFF"/>
        </w:rPr>
        <w:t>（全称并加盖单位公章）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日期：</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年</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br w:type="textWrapping"/>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Style w:val="14"/>
          <w:rFonts w:hint="eastAsia" w:ascii="宋体" w:hAnsi="宋体" w:eastAsia="宋体" w:cs="宋体"/>
          <w:b/>
          <w:bCs/>
          <w:i w:val="0"/>
          <w:iCs w:val="0"/>
          <w:caps w:val="0"/>
          <w:color w:val="auto"/>
          <w:spacing w:val="0"/>
          <w:sz w:val="24"/>
          <w:szCs w:val="24"/>
          <w:shd w:val="clear" w:fill="FFFFFF"/>
        </w:rPr>
        <w:t>二-3财务状况报告（财务报告、或资信证明）</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致：</w:t>
      </w:r>
      <w:r>
        <w:rPr>
          <w:rFonts w:hint="eastAsia" w:ascii="宋体" w:hAnsi="宋体" w:eastAsia="宋体" w:cs="宋体"/>
          <w:i w:val="0"/>
          <w:iCs w:val="0"/>
          <w:caps w:val="0"/>
          <w:color w:val="auto"/>
          <w:spacing w:val="0"/>
          <w:sz w:val="24"/>
          <w:szCs w:val="24"/>
          <w:u w:val="single"/>
          <w:shd w:val="clear" w:fill="FFFFFF"/>
        </w:rPr>
        <w:t>           （采购人或采购代理机构）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）投标人提供财务报告的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□企业适用：现附上我方</w:t>
      </w:r>
      <w:r>
        <w:rPr>
          <w:rFonts w:hint="eastAsia" w:ascii="宋体" w:hAnsi="宋体" w:eastAsia="宋体" w:cs="宋体"/>
          <w:i w:val="0"/>
          <w:iCs w:val="0"/>
          <w:caps w:val="0"/>
          <w:color w:val="auto"/>
          <w:spacing w:val="0"/>
          <w:sz w:val="24"/>
          <w:szCs w:val="24"/>
          <w:u w:val="single"/>
          <w:shd w:val="clear" w:fill="FFFFFF"/>
        </w:rPr>
        <w:t>（填写“具体的年度、或半年度、或季度”）</w:t>
      </w:r>
      <w:r>
        <w:rPr>
          <w:rFonts w:hint="eastAsia" w:ascii="宋体" w:hAnsi="宋体" w:eastAsia="宋体" w:cs="宋体"/>
          <w:i w:val="0"/>
          <w:iCs w:val="0"/>
          <w:caps w:val="0"/>
          <w:color w:val="auto"/>
          <w:spacing w:val="0"/>
          <w:sz w:val="24"/>
          <w:szCs w:val="24"/>
          <w:shd w:val="clear" w:fill="FFFFFF"/>
        </w:rPr>
        <w:t>财务报告复印件，包括资产负债表、利润表、现金流量表、所有者权益变动表（若有）及其附注（若有）、会计师事务所营业执照和注册会计师资格证书，上述证明材料真实有效，否则我方负全部责任。</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□事业单位适用：现附上我方</w:t>
      </w:r>
      <w:r>
        <w:rPr>
          <w:rFonts w:hint="eastAsia" w:ascii="宋体" w:hAnsi="宋体" w:eastAsia="宋体" w:cs="宋体"/>
          <w:i w:val="0"/>
          <w:iCs w:val="0"/>
          <w:caps w:val="0"/>
          <w:color w:val="auto"/>
          <w:spacing w:val="0"/>
          <w:sz w:val="24"/>
          <w:szCs w:val="24"/>
          <w:u w:val="single"/>
          <w:shd w:val="clear" w:fill="FFFFFF"/>
        </w:rPr>
        <w:t>（填写“具体的年度、或半年度、或季度”）</w:t>
      </w:r>
      <w:r>
        <w:rPr>
          <w:rFonts w:hint="eastAsia" w:ascii="宋体" w:hAnsi="宋体" w:eastAsia="宋体" w:cs="宋体"/>
          <w:i w:val="0"/>
          <w:iCs w:val="0"/>
          <w:caps w:val="0"/>
          <w:color w:val="auto"/>
          <w:spacing w:val="0"/>
          <w:sz w:val="24"/>
          <w:szCs w:val="24"/>
          <w:shd w:val="clear" w:fill="FFFFFF"/>
        </w:rPr>
        <w:t>财务报告复印件，包括资产负债表、收入支出表（或收入费用表）、财政补助收入支出表（若有）、会计师事务所营业执照和注册会计师资格证书，上述证明材料真实有效，否则我方负全部责任。</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□社会团体、民办非企适用：现附上我方</w:t>
      </w:r>
      <w:r>
        <w:rPr>
          <w:rFonts w:hint="eastAsia" w:ascii="宋体" w:hAnsi="宋体" w:eastAsia="宋体" w:cs="宋体"/>
          <w:i w:val="0"/>
          <w:iCs w:val="0"/>
          <w:caps w:val="0"/>
          <w:color w:val="auto"/>
          <w:spacing w:val="0"/>
          <w:sz w:val="24"/>
          <w:szCs w:val="24"/>
          <w:u w:val="single"/>
          <w:shd w:val="clear" w:fill="FFFFFF"/>
        </w:rPr>
        <w:t>（填写“具体的年度、或半年度、或季度”）</w:t>
      </w:r>
      <w:r>
        <w:rPr>
          <w:rFonts w:hint="eastAsia" w:ascii="宋体" w:hAnsi="宋体" w:eastAsia="宋体" w:cs="宋体"/>
          <w:i w:val="0"/>
          <w:iCs w:val="0"/>
          <w:caps w:val="0"/>
          <w:color w:val="auto"/>
          <w:spacing w:val="0"/>
          <w:sz w:val="24"/>
          <w:szCs w:val="24"/>
          <w:shd w:val="clear" w:fill="FFFFFF"/>
        </w:rPr>
        <w:t>财务报告复印件，包括资产负债表、业务活动表、现金流量表、会计师事务所营业执照和注册会计师资格证书，上述证明材料真实有效，否则我方负全部责任。</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）投标人提供资信证明的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□非自然人适用（包括企业、事业单位、社会团体和其他组织）：现附上我方银行：（填写“开户银行全称”）出具的资信证明复印件，上述证明材料真实有效，否则我方负全部责任。</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□自然人适用：现附上我方银行：</w:t>
      </w:r>
      <w:r>
        <w:rPr>
          <w:rFonts w:hint="eastAsia" w:ascii="宋体" w:hAnsi="宋体" w:eastAsia="宋体" w:cs="宋体"/>
          <w:i w:val="0"/>
          <w:iCs w:val="0"/>
          <w:caps w:val="0"/>
          <w:color w:val="auto"/>
          <w:spacing w:val="0"/>
          <w:sz w:val="24"/>
          <w:szCs w:val="24"/>
          <w:u w:val="single"/>
          <w:shd w:val="clear" w:fill="FFFFFF"/>
        </w:rPr>
        <w:t>（填写自然人的“个人账户的开户银行全称”）</w:t>
      </w:r>
      <w:r>
        <w:rPr>
          <w:rFonts w:hint="eastAsia" w:ascii="宋体" w:hAnsi="宋体" w:eastAsia="宋体" w:cs="宋体"/>
          <w:i w:val="0"/>
          <w:iCs w:val="0"/>
          <w:caps w:val="0"/>
          <w:color w:val="auto"/>
          <w:spacing w:val="0"/>
          <w:sz w:val="24"/>
          <w:szCs w:val="24"/>
          <w:shd w:val="clear" w:fill="FFFFFF"/>
        </w:rPr>
        <w:t>出具的资信证明复印件，上述证明材料真实有效，否则我方负全部责任。</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※注意：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1、请投标人按照实际情况编制填写，在相应的（）中打“√”并选择相应的“□”（若有）后，再按照本格式的要求提供相应证明材料的复印件。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2、投标人提供的财务报告复印件（成立年限按照投标截止时间推算）应符合下列规定：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2.1成立年限满1年及以上的投标人，提供经审计的招标文件规定的年度财务报告。</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2.2成立年限满半年但不足1年的投标人，提供该半年度中任一季度的季度财务报告或该半年度的半年度财务报告。</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Style w:val="14"/>
          <w:rFonts w:hint="eastAsia" w:ascii="宋体" w:hAnsi="宋体" w:eastAsia="宋体" w:cs="宋体"/>
          <w:b/>
          <w:bCs/>
          <w:i w:val="0"/>
          <w:iCs w:val="0"/>
          <w:caps w:val="0"/>
          <w:color w:val="auto"/>
          <w:spacing w:val="0"/>
          <w:sz w:val="24"/>
          <w:szCs w:val="24"/>
          <w:shd w:val="clear" w:fill="FFFFFF"/>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投标人：</w:t>
      </w:r>
      <w:r>
        <w:rPr>
          <w:rFonts w:hint="eastAsia" w:ascii="宋体" w:hAnsi="宋体" w:eastAsia="宋体" w:cs="宋体"/>
          <w:i w:val="0"/>
          <w:iCs w:val="0"/>
          <w:caps w:val="0"/>
          <w:color w:val="auto"/>
          <w:spacing w:val="0"/>
          <w:sz w:val="24"/>
          <w:szCs w:val="24"/>
          <w:u w:val="single"/>
          <w:shd w:val="clear" w:fill="FFFFFF"/>
        </w:rPr>
        <w:t>（全称并加盖单位公章）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日期：</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年</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二</w:t>
      </w:r>
      <w:r>
        <w:rPr>
          <w:rStyle w:val="14"/>
          <w:rFonts w:hint="eastAsia" w:ascii="宋体" w:hAnsi="宋体" w:eastAsia="宋体" w:cs="宋体"/>
          <w:b/>
          <w:bCs/>
          <w:i w:val="0"/>
          <w:iCs w:val="0"/>
          <w:caps w:val="0"/>
          <w:color w:val="auto"/>
          <w:spacing w:val="0"/>
          <w:sz w:val="24"/>
          <w:szCs w:val="24"/>
          <w:shd w:val="clear" w:fill="FFFFFF"/>
        </w:rPr>
        <w:t>-4依法缴纳税收证明材料</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致：</w:t>
      </w:r>
      <w:r>
        <w:rPr>
          <w:rFonts w:hint="eastAsia" w:ascii="宋体" w:hAnsi="宋体" w:eastAsia="宋体" w:cs="宋体"/>
          <w:i w:val="0"/>
          <w:iCs w:val="0"/>
          <w:caps w:val="0"/>
          <w:color w:val="auto"/>
          <w:spacing w:val="0"/>
          <w:sz w:val="24"/>
          <w:szCs w:val="24"/>
          <w:u w:val="single"/>
          <w:shd w:val="clear" w:fill="FFFFFF"/>
        </w:rPr>
        <w:t>            （采购人或采购代理机构）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1、依法缴纳税收的投标人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）法人（包括企业、事业单位和社会团体）的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现附上自</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年</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日至</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年</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日期间我方缴纳</w:t>
      </w:r>
      <w:r>
        <w:rPr>
          <w:rFonts w:hint="eastAsia" w:ascii="宋体" w:hAnsi="宋体" w:eastAsia="宋体" w:cs="宋体"/>
          <w:i w:val="0"/>
          <w:iCs w:val="0"/>
          <w:caps w:val="0"/>
          <w:color w:val="auto"/>
          <w:spacing w:val="0"/>
          <w:sz w:val="24"/>
          <w:szCs w:val="24"/>
          <w:u w:val="single"/>
          <w:shd w:val="clear" w:fill="FFFFFF"/>
        </w:rPr>
        <w:t>（包括但不限于税务机关出具的专用收据、税收缴纳证明或税收代缴银行的缴款收讫凭证）等</w:t>
      </w:r>
      <w:r>
        <w:rPr>
          <w:rFonts w:hint="eastAsia" w:ascii="宋体" w:hAnsi="宋体" w:eastAsia="宋体" w:cs="宋体"/>
          <w:i w:val="0"/>
          <w:iCs w:val="0"/>
          <w:caps w:val="0"/>
          <w:color w:val="auto"/>
          <w:spacing w:val="0"/>
          <w:sz w:val="24"/>
          <w:szCs w:val="24"/>
          <w:shd w:val="clear" w:fill="FFFFFF"/>
        </w:rPr>
        <w:t>税收凭据复印件，上述证明材料真实有效，否则我方负全部责任。</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）非法人（包括其他组织、自然人）的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现附上自</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年</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日至</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年</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日期间我方缴纳</w:t>
      </w:r>
      <w:r>
        <w:rPr>
          <w:rFonts w:hint="eastAsia" w:ascii="宋体" w:hAnsi="宋体" w:eastAsia="宋体" w:cs="宋体"/>
          <w:i w:val="0"/>
          <w:iCs w:val="0"/>
          <w:caps w:val="0"/>
          <w:color w:val="auto"/>
          <w:spacing w:val="0"/>
          <w:sz w:val="24"/>
          <w:szCs w:val="24"/>
          <w:u w:val="single"/>
          <w:shd w:val="clear" w:fill="FFFFFF"/>
        </w:rPr>
        <w:t>（包括但不限于税务机关出具的专用收据、税收缴纳证明或税收代缴银行的缴款收讫凭证）等</w:t>
      </w:r>
      <w:r>
        <w:rPr>
          <w:rFonts w:hint="eastAsia" w:ascii="宋体" w:hAnsi="宋体" w:eastAsia="宋体" w:cs="宋体"/>
          <w:i w:val="0"/>
          <w:iCs w:val="0"/>
          <w:caps w:val="0"/>
          <w:color w:val="auto"/>
          <w:spacing w:val="0"/>
          <w:sz w:val="24"/>
          <w:szCs w:val="24"/>
          <w:shd w:val="clear" w:fill="FFFFFF"/>
        </w:rPr>
        <w:t>税收凭据复印件，上述证明材料真实有效，否则我方负全部责任。</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2、依法免税的投标人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）现附上我方依法免税证明材料复印件，上述证明材料真实有效，否则我方负全部责任。</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※注意：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1、请投标人按照实际情况编制填写，在相应的（）中打“√”，并按照本格式的要求提供相应证明材料的复印件。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2、投标人提供的税收凭据复印件应符合下列规定：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2.1投标截止时间前（不含投标截止时间的当月）已依法缴纳税收的投标人，提供投标截止时间前六个月（不含投标截止时间的当月）中任一月份的税收凭据复印件。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2.2投标截止时间的当月成立且已依法缴纳税收的投标人，提供投标截止时间当月的税收凭据复印件。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2.3投标截止时间的当月成立但因税务机关原因导致其尚未依法缴纳税收的投标人，提供依法缴纳税收承诺书（格式自拟），该承诺书视同税收凭据。</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投标人：</w:t>
      </w:r>
      <w:r>
        <w:rPr>
          <w:rFonts w:hint="eastAsia" w:ascii="宋体" w:hAnsi="宋体" w:eastAsia="宋体" w:cs="宋体"/>
          <w:i w:val="0"/>
          <w:iCs w:val="0"/>
          <w:caps w:val="0"/>
          <w:color w:val="auto"/>
          <w:spacing w:val="0"/>
          <w:sz w:val="24"/>
          <w:szCs w:val="24"/>
          <w:u w:val="single"/>
          <w:shd w:val="clear" w:fill="FFFFFF"/>
        </w:rPr>
        <w:t>（全称并加盖单位公章）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日期：</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年</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br w:type="textWrapping"/>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Style w:val="14"/>
          <w:rFonts w:hint="eastAsia" w:ascii="宋体" w:hAnsi="宋体" w:eastAsia="宋体" w:cs="宋体"/>
          <w:b/>
          <w:bCs/>
          <w:i w:val="0"/>
          <w:iCs w:val="0"/>
          <w:caps w:val="0"/>
          <w:color w:val="auto"/>
          <w:spacing w:val="0"/>
          <w:sz w:val="24"/>
          <w:szCs w:val="24"/>
          <w:shd w:val="clear" w:fill="FFFFFF"/>
        </w:rPr>
      </w:pPr>
      <w:r>
        <w:rPr>
          <w:rStyle w:val="14"/>
          <w:rFonts w:hint="eastAsia" w:ascii="宋体" w:hAnsi="宋体" w:eastAsia="宋体" w:cs="宋体"/>
          <w:b/>
          <w:bCs/>
          <w:i w:val="0"/>
          <w:iCs w:val="0"/>
          <w:caps w:val="0"/>
          <w:color w:val="auto"/>
          <w:spacing w:val="0"/>
          <w:sz w:val="24"/>
          <w:szCs w:val="24"/>
          <w:shd w:val="clear" w:fill="FFFFFF"/>
        </w:rPr>
        <w:t>二-5依法缴纳社会保障资金证明材料</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Style w:val="14"/>
          <w:rFonts w:hint="eastAsia" w:ascii="宋体" w:hAnsi="宋体" w:eastAsia="宋体" w:cs="宋体"/>
          <w:b/>
          <w:bCs/>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致：</w:t>
      </w:r>
      <w:r>
        <w:rPr>
          <w:rFonts w:hint="eastAsia" w:ascii="宋体" w:hAnsi="宋体" w:eastAsia="宋体" w:cs="宋体"/>
          <w:i w:val="0"/>
          <w:iCs w:val="0"/>
          <w:caps w:val="0"/>
          <w:color w:val="auto"/>
          <w:spacing w:val="0"/>
          <w:sz w:val="24"/>
          <w:szCs w:val="24"/>
          <w:u w:val="single"/>
          <w:shd w:val="clear" w:fill="FFFFFF"/>
        </w:rPr>
        <w:t>           （采购人或采购代理机构）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1、依法缴纳社会保障资金的投标人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）法人（包括企业、事业单位和社会团体）的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现附上自</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年</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日至</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年</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日我方缴纳的社会保险凭据（限：税务机关/社会保障资金管理机关的专用收据或社会保险缴纳清单，或社会保险的银行缴款收讫凭证）复印件，上述证明材料真实有效，否则我方负全部责任。</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）非法人（包括其他组织、自然人）的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自</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年</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日至</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年</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日我方缴纳的社会保险凭据（限：税务机关/社会保障资金管理机关的专用收据或社会保险缴纳清单，或社会保险的银行缴款收讫凭证）复印件，上述证明材料真实有效，否则我方负全部责任。</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2、依法不需要缴纳社会保障资金的投标人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）现附上我方依法不需要缴纳社会保障资金证明材料复印件，上述证明材料真实有效，否则我方负全部责任。</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※注意：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1、请投标人按照实际情况编制填写，在相应的（）中打“√”，并按照本格式的要求提供相应证明材料的复印件。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2、投标人提供的社会保险凭据复印件应符合下列规定：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2.1投标截止时间前（不含投标截止时间的当月）已依法缴纳社会保障资金的投标人，提供投标截止时间前六个月（不含投标截止时间的当月）中任一月份的社会保险凭据复印件。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2.2投标截止时间的当月成立且已依法缴纳社会保障资金的投标人，提供投标截止时间当月的社会保险凭据复印件。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2.3投标截止时间的当月成立但因税务机关/社会保障资金管理机关原因导致其尚未依法缴纳社会保障资金的投标人，提供依法缴纳社会保障资金承诺书（格式自拟），该承诺书视同社会保险凭据。</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投标人：</w:t>
      </w:r>
      <w:r>
        <w:rPr>
          <w:rFonts w:hint="eastAsia" w:ascii="宋体" w:hAnsi="宋体" w:eastAsia="宋体" w:cs="宋体"/>
          <w:i w:val="0"/>
          <w:iCs w:val="0"/>
          <w:caps w:val="0"/>
          <w:color w:val="auto"/>
          <w:spacing w:val="0"/>
          <w:sz w:val="24"/>
          <w:szCs w:val="24"/>
          <w:u w:val="single"/>
          <w:shd w:val="clear" w:fill="FFFFFF"/>
        </w:rPr>
        <w:t>（全称并加盖单位公章）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日期：</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年</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br w:type="textWrapping"/>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二</w:t>
      </w:r>
      <w:r>
        <w:rPr>
          <w:rStyle w:val="14"/>
          <w:rFonts w:hint="eastAsia" w:ascii="宋体" w:hAnsi="宋体" w:eastAsia="宋体" w:cs="宋体"/>
          <w:b/>
          <w:bCs/>
          <w:i w:val="0"/>
          <w:iCs w:val="0"/>
          <w:caps w:val="0"/>
          <w:color w:val="auto"/>
          <w:spacing w:val="0"/>
          <w:sz w:val="24"/>
          <w:szCs w:val="24"/>
          <w:shd w:val="clear" w:fill="FFFFFF"/>
        </w:rPr>
        <w:t>-6具备履行合同所必需设备和专业技术能力的声明函（若有）</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致：</w:t>
      </w:r>
      <w:r>
        <w:rPr>
          <w:rFonts w:hint="eastAsia" w:ascii="宋体" w:hAnsi="宋体" w:eastAsia="宋体" w:cs="宋体"/>
          <w:i w:val="0"/>
          <w:iCs w:val="0"/>
          <w:caps w:val="0"/>
          <w:color w:val="auto"/>
          <w:spacing w:val="0"/>
          <w:sz w:val="24"/>
          <w:szCs w:val="24"/>
          <w:u w:val="single"/>
          <w:shd w:val="clear" w:fill="FFFFFF"/>
        </w:rPr>
        <w:t>           （采购人或采购代理机构）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我方具备履行合同所必需的设备和专业技术能力，否则产生不利后果由我方承担责任。</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特此声明。</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※注意：</w:t>
      </w:r>
    </w:p>
    <w:p>
      <w:pPr>
        <w:pStyle w:val="10"/>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1、招标文件未要求投标人提供“具备履行合同所必需的设备和专业技术能力专项证明材料”的，投标人应提供本声明函。</w:t>
      </w:r>
    </w:p>
    <w:p>
      <w:pPr>
        <w:pStyle w:val="10"/>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2、招标文件要求投标人提供“具备履行合同所必需的设备和专业技术能力专项证明材料”的，投标人可不提供本声明函。</w:t>
      </w:r>
    </w:p>
    <w:p>
      <w:pPr>
        <w:pStyle w:val="10"/>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3、请投标人根据实际情况如实声明，否则</w:t>
      </w:r>
      <w:r>
        <w:rPr>
          <w:rStyle w:val="14"/>
          <w:rFonts w:hint="eastAsia" w:ascii="宋体" w:hAnsi="宋体" w:eastAsia="宋体" w:cs="宋体"/>
          <w:b/>
          <w:bCs/>
          <w:i w:val="0"/>
          <w:iCs w:val="0"/>
          <w:caps w:val="0"/>
          <w:color w:val="auto"/>
          <w:spacing w:val="0"/>
          <w:sz w:val="24"/>
          <w:szCs w:val="24"/>
          <w:shd w:val="clear" w:fill="FFFFFF"/>
        </w:rPr>
        <w:t>视为提供虚假材料。</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投标人：</w:t>
      </w:r>
      <w:r>
        <w:rPr>
          <w:rFonts w:hint="eastAsia" w:ascii="宋体" w:hAnsi="宋体" w:eastAsia="宋体" w:cs="宋体"/>
          <w:i w:val="0"/>
          <w:iCs w:val="0"/>
          <w:caps w:val="0"/>
          <w:color w:val="auto"/>
          <w:spacing w:val="0"/>
          <w:sz w:val="24"/>
          <w:szCs w:val="24"/>
          <w:u w:val="single"/>
          <w:shd w:val="clear" w:fill="FFFFFF"/>
        </w:rPr>
        <w:t>（全称并加盖单位公章）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日期：</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年</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二</w:t>
      </w:r>
      <w:r>
        <w:rPr>
          <w:rStyle w:val="14"/>
          <w:rFonts w:hint="eastAsia" w:ascii="宋体" w:hAnsi="宋体" w:eastAsia="宋体" w:cs="宋体"/>
          <w:b/>
          <w:bCs/>
          <w:i w:val="0"/>
          <w:iCs w:val="0"/>
          <w:caps w:val="0"/>
          <w:color w:val="auto"/>
          <w:spacing w:val="0"/>
          <w:sz w:val="24"/>
          <w:szCs w:val="24"/>
          <w:shd w:val="clear" w:fill="FFFFFF"/>
        </w:rPr>
        <w:t>-7参加采购活动前三年内在经营活动中没有重大违法记录书面声明</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致：</w:t>
      </w:r>
      <w:r>
        <w:rPr>
          <w:rFonts w:hint="eastAsia" w:ascii="宋体" w:hAnsi="宋体" w:eastAsia="宋体" w:cs="宋体"/>
          <w:i w:val="0"/>
          <w:iCs w:val="0"/>
          <w:caps w:val="0"/>
          <w:color w:val="auto"/>
          <w:spacing w:val="0"/>
          <w:sz w:val="24"/>
          <w:szCs w:val="24"/>
          <w:u w:val="single"/>
          <w:shd w:val="clear" w:fill="FFFFFF"/>
        </w:rPr>
        <w:t>           （采购人或采购代理机构）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特此声明。</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※注意：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请投标人根据实际情况如实声明，否则</w:t>
      </w:r>
      <w:r>
        <w:rPr>
          <w:rStyle w:val="14"/>
          <w:rFonts w:hint="eastAsia" w:ascii="宋体" w:hAnsi="宋体" w:eastAsia="宋体" w:cs="宋体"/>
          <w:b/>
          <w:bCs/>
          <w:i w:val="0"/>
          <w:iCs w:val="0"/>
          <w:caps w:val="0"/>
          <w:color w:val="auto"/>
          <w:spacing w:val="0"/>
          <w:sz w:val="24"/>
          <w:szCs w:val="24"/>
          <w:shd w:val="clear" w:fill="FFFFFF"/>
        </w:rPr>
        <w:t>视为提供虚假材料。</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投标人：</w:t>
      </w:r>
      <w:r>
        <w:rPr>
          <w:rFonts w:hint="eastAsia" w:ascii="宋体" w:hAnsi="宋体" w:eastAsia="宋体" w:cs="宋体"/>
          <w:i w:val="0"/>
          <w:iCs w:val="0"/>
          <w:caps w:val="0"/>
          <w:color w:val="auto"/>
          <w:spacing w:val="0"/>
          <w:sz w:val="24"/>
          <w:szCs w:val="24"/>
          <w:u w:val="single"/>
          <w:shd w:val="clear" w:fill="FFFFFF"/>
        </w:rPr>
        <w:t>（全称并加盖单位公章）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日期：</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年</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二</w:t>
      </w:r>
      <w:r>
        <w:rPr>
          <w:rStyle w:val="14"/>
          <w:rFonts w:hint="eastAsia" w:ascii="宋体" w:hAnsi="宋体" w:eastAsia="宋体" w:cs="宋体"/>
          <w:b/>
          <w:bCs/>
          <w:i w:val="0"/>
          <w:iCs w:val="0"/>
          <w:caps w:val="0"/>
          <w:color w:val="auto"/>
          <w:spacing w:val="0"/>
          <w:sz w:val="24"/>
          <w:szCs w:val="24"/>
          <w:shd w:val="clear" w:fill="FFFFFF"/>
        </w:rPr>
        <w:t>-8信用记录查询提示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1、由资格审查小组通过网站查询并打印投标人的信用记录。</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3、投标人应了解投标人自身的信用记录情况。当投标人受到200万以上罚款的行政处罚且该罚款不属较大数额罚款时，投标人应在投标文件中提供此项罚款不属于较大数额罚款的依据（如提供：相关法律制度的规定、行政执法机构对该罚款不属于较大数额罚款的认定或者其他有效依据）。</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val="0"/>
          <w:color w:val="auto"/>
          <w:sz w:val="24"/>
          <w:szCs w:val="24"/>
        </w:rPr>
      </w:pPr>
      <w:r>
        <w:rPr>
          <w:rStyle w:val="14"/>
          <w:rFonts w:hint="eastAsia" w:ascii="宋体" w:hAnsi="宋体" w:eastAsia="宋体" w:cs="宋体"/>
          <w:b/>
          <w:bCs/>
          <w:i w:val="0"/>
          <w:iCs w:val="0"/>
          <w:caps w:val="0"/>
          <w:color w:val="auto"/>
          <w:spacing w:val="0"/>
          <w:sz w:val="24"/>
          <w:szCs w:val="24"/>
          <w:shd w:val="clear" w:fill="FFFFFF"/>
        </w:rPr>
        <w:t>二-9中小企业声明函</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Style w:val="14"/>
          <w:rFonts w:hint="eastAsia" w:ascii="宋体" w:hAnsi="宋体" w:eastAsia="宋体" w:cs="宋体"/>
          <w:b/>
          <w:bCs/>
          <w:i w:val="0"/>
          <w:iCs w:val="0"/>
          <w:caps w:val="0"/>
          <w:color w:val="auto"/>
          <w:spacing w:val="0"/>
          <w:sz w:val="24"/>
          <w:szCs w:val="24"/>
          <w:shd w:val="clear" w:fill="FFFFFF"/>
        </w:rPr>
        <w:t>（以资格条件落实中小企业扶持政策时适用，若有）</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Style w:val="14"/>
          <w:rFonts w:hint="eastAsia" w:ascii="宋体" w:hAnsi="宋体" w:eastAsia="宋体" w:cs="宋体"/>
          <w:b/>
          <w:bCs/>
          <w:i w:val="0"/>
          <w:iCs w:val="0"/>
          <w:caps w:val="0"/>
          <w:color w:val="auto"/>
          <w:spacing w:val="0"/>
          <w:sz w:val="24"/>
          <w:szCs w:val="24"/>
          <w:shd w:val="clear" w:fill="FFFFFF"/>
        </w:rPr>
        <w:t>中小企业声明函（货物）</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本公司（联合体）郑重声明，根据《政府采购促进中小企业发展管理办法》（财库﹝2020﹞46 号）的规定，本公司（联合体）参加</w:t>
      </w:r>
      <w:r>
        <w:rPr>
          <w:rFonts w:hint="eastAsia" w:ascii="宋体" w:hAnsi="宋体" w:eastAsia="宋体" w:cs="宋体"/>
          <w:i w:val="0"/>
          <w:iCs w:val="0"/>
          <w:caps w:val="0"/>
          <w:color w:val="auto"/>
          <w:spacing w:val="0"/>
          <w:sz w:val="24"/>
          <w:szCs w:val="24"/>
          <w:u w:val="single"/>
          <w:shd w:val="clear" w:fill="FFFFFF"/>
        </w:rPr>
        <w:t>（单位名称）</w:t>
      </w:r>
      <w:r>
        <w:rPr>
          <w:rFonts w:hint="eastAsia" w:ascii="宋体" w:hAnsi="宋体" w:eastAsia="宋体" w:cs="宋体"/>
          <w:i w:val="0"/>
          <w:iCs w:val="0"/>
          <w:caps w:val="0"/>
          <w:color w:val="auto"/>
          <w:spacing w:val="0"/>
          <w:sz w:val="24"/>
          <w:szCs w:val="24"/>
          <w:shd w:val="clear" w:fill="FFFFFF"/>
        </w:rPr>
        <w:t>的</w:t>
      </w:r>
      <w:r>
        <w:rPr>
          <w:rFonts w:hint="eastAsia" w:ascii="宋体" w:hAnsi="宋体" w:eastAsia="宋体" w:cs="宋体"/>
          <w:i w:val="0"/>
          <w:iCs w:val="0"/>
          <w:caps w:val="0"/>
          <w:color w:val="auto"/>
          <w:spacing w:val="0"/>
          <w:sz w:val="24"/>
          <w:szCs w:val="24"/>
          <w:u w:val="single"/>
          <w:shd w:val="clear" w:fill="FFFFFF"/>
        </w:rPr>
        <w:t>（项目名称）</w:t>
      </w:r>
      <w:r>
        <w:rPr>
          <w:rFonts w:hint="eastAsia" w:ascii="宋体" w:hAnsi="宋体" w:eastAsia="宋体" w:cs="宋体"/>
          <w:i w:val="0"/>
          <w:iCs w:val="0"/>
          <w:caps w:val="0"/>
          <w:color w:val="auto"/>
          <w:spacing w:val="0"/>
          <w:sz w:val="24"/>
          <w:szCs w:val="24"/>
          <w:shd w:val="clear" w:fill="FFFFFF"/>
        </w:rPr>
        <w:t>采购活动，提供的货物全部由符合政策要求的中小企业制造。相关企业（含联合体中的中小企业、签订分包意向协议的中小企业）的具体情况如下：</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1. </w:t>
      </w:r>
      <w:r>
        <w:rPr>
          <w:rFonts w:hint="eastAsia" w:ascii="宋体" w:hAnsi="宋体" w:eastAsia="宋体" w:cs="宋体"/>
          <w:i w:val="0"/>
          <w:iCs w:val="0"/>
          <w:caps w:val="0"/>
          <w:color w:val="auto"/>
          <w:spacing w:val="0"/>
          <w:sz w:val="24"/>
          <w:szCs w:val="24"/>
          <w:u w:val="single"/>
          <w:shd w:val="clear" w:fill="FFFFFF"/>
        </w:rPr>
        <w:t> （标的名称） </w:t>
      </w:r>
      <w:r>
        <w:rPr>
          <w:rFonts w:hint="eastAsia" w:ascii="宋体" w:hAnsi="宋体" w:eastAsia="宋体" w:cs="宋体"/>
          <w:i w:val="0"/>
          <w:iCs w:val="0"/>
          <w:caps w:val="0"/>
          <w:color w:val="auto"/>
          <w:spacing w:val="0"/>
          <w:sz w:val="24"/>
          <w:szCs w:val="24"/>
          <w:shd w:val="clear" w:fill="FFFFFF"/>
        </w:rPr>
        <w:t>，属于</w:t>
      </w:r>
      <w:r>
        <w:rPr>
          <w:rFonts w:hint="eastAsia" w:ascii="宋体" w:hAnsi="宋体" w:eastAsia="宋体" w:cs="宋体"/>
          <w:i w:val="0"/>
          <w:iCs w:val="0"/>
          <w:caps w:val="0"/>
          <w:color w:val="auto"/>
          <w:spacing w:val="0"/>
          <w:sz w:val="24"/>
          <w:szCs w:val="24"/>
          <w:u w:val="single"/>
          <w:shd w:val="clear" w:fill="FFFFFF"/>
        </w:rPr>
        <w:t>（采购文件中明确的所属行业）行业</w:t>
      </w:r>
      <w:r>
        <w:rPr>
          <w:rFonts w:hint="eastAsia" w:ascii="宋体" w:hAnsi="宋体" w:eastAsia="宋体" w:cs="宋体"/>
          <w:i w:val="0"/>
          <w:iCs w:val="0"/>
          <w:caps w:val="0"/>
          <w:color w:val="auto"/>
          <w:spacing w:val="0"/>
          <w:sz w:val="24"/>
          <w:szCs w:val="24"/>
          <w:shd w:val="clear" w:fill="FFFFFF"/>
        </w:rPr>
        <w:t>；制造商为</w:t>
      </w:r>
      <w:r>
        <w:rPr>
          <w:rFonts w:hint="eastAsia" w:ascii="宋体" w:hAnsi="宋体" w:eastAsia="宋体" w:cs="宋体"/>
          <w:i w:val="0"/>
          <w:iCs w:val="0"/>
          <w:caps w:val="0"/>
          <w:color w:val="auto"/>
          <w:spacing w:val="0"/>
          <w:sz w:val="24"/>
          <w:szCs w:val="24"/>
          <w:u w:val="single"/>
          <w:shd w:val="clear" w:fill="FFFFFF"/>
        </w:rPr>
        <w:t>（企业名称）</w:t>
      </w:r>
      <w:r>
        <w:rPr>
          <w:rFonts w:hint="eastAsia" w:ascii="宋体" w:hAnsi="宋体" w:eastAsia="宋体" w:cs="宋体"/>
          <w:i w:val="0"/>
          <w:iCs w:val="0"/>
          <w:caps w:val="0"/>
          <w:color w:val="auto"/>
          <w:spacing w:val="0"/>
          <w:sz w:val="24"/>
          <w:szCs w:val="24"/>
          <w:shd w:val="clear" w:fill="FFFFFF"/>
        </w:rPr>
        <w:t>，从业人员</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人，营业收入为</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万元，资产总额为</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万元</w:t>
      </w:r>
      <w:r>
        <w:rPr>
          <w:rFonts w:hint="eastAsia" w:ascii="宋体" w:hAnsi="宋体" w:eastAsia="宋体" w:cs="宋体"/>
          <w:i w:val="0"/>
          <w:iCs w:val="0"/>
          <w:caps w:val="0"/>
          <w:color w:val="auto"/>
          <w:spacing w:val="0"/>
          <w:sz w:val="24"/>
          <w:szCs w:val="24"/>
          <w:shd w:val="clear" w:fill="FFFFFF"/>
          <w:vertAlign w:val="superscript"/>
        </w:rPr>
        <w:t>1</w:t>
      </w:r>
      <w:r>
        <w:rPr>
          <w:rFonts w:hint="eastAsia" w:ascii="宋体" w:hAnsi="宋体" w:eastAsia="宋体" w:cs="宋体"/>
          <w:i w:val="0"/>
          <w:iCs w:val="0"/>
          <w:caps w:val="0"/>
          <w:color w:val="auto"/>
          <w:spacing w:val="0"/>
          <w:sz w:val="24"/>
          <w:szCs w:val="24"/>
          <w:shd w:val="clear" w:fill="FFFFFF"/>
        </w:rPr>
        <w:t>，属于</w:t>
      </w:r>
      <w:r>
        <w:rPr>
          <w:rFonts w:hint="eastAsia" w:ascii="宋体" w:hAnsi="宋体" w:eastAsia="宋体" w:cs="宋体"/>
          <w:i w:val="0"/>
          <w:iCs w:val="0"/>
          <w:caps w:val="0"/>
          <w:color w:val="auto"/>
          <w:spacing w:val="0"/>
          <w:sz w:val="24"/>
          <w:szCs w:val="24"/>
          <w:u w:val="single"/>
          <w:shd w:val="clear" w:fill="FFFFFF"/>
        </w:rPr>
        <w:t>（中型企业、小型企业、微型企业）；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2. </w:t>
      </w:r>
      <w:r>
        <w:rPr>
          <w:rFonts w:hint="eastAsia" w:ascii="宋体" w:hAnsi="宋体" w:eastAsia="宋体" w:cs="宋体"/>
          <w:i w:val="0"/>
          <w:iCs w:val="0"/>
          <w:caps w:val="0"/>
          <w:color w:val="auto"/>
          <w:spacing w:val="0"/>
          <w:sz w:val="24"/>
          <w:szCs w:val="24"/>
          <w:u w:val="single"/>
          <w:shd w:val="clear" w:fill="FFFFFF"/>
        </w:rPr>
        <w:t> （标的名称） </w:t>
      </w:r>
      <w:r>
        <w:rPr>
          <w:rFonts w:hint="eastAsia" w:ascii="宋体" w:hAnsi="宋体" w:eastAsia="宋体" w:cs="宋体"/>
          <w:i w:val="0"/>
          <w:iCs w:val="0"/>
          <w:caps w:val="0"/>
          <w:color w:val="auto"/>
          <w:spacing w:val="0"/>
          <w:sz w:val="24"/>
          <w:szCs w:val="24"/>
          <w:shd w:val="clear" w:fill="FFFFFF"/>
        </w:rPr>
        <w:t>，属于</w:t>
      </w:r>
      <w:r>
        <w:rPr>
          <w:rFonts w:hint="eastAsia" w:ascii="宋体" w:hAnsi="宋体" w:eastAsia="宋体" w:cs="宋体"/>
          <w:i w:val="0"/>
          <w:iCs w:val="0"/>
          <w:caps w:val="0"/>
          <w:color w:val="auto"/>
          <w:spacing w:val="0"/>
          <w:sz w:val="24"/>
          <w:szCs w:val="24"/>
          <w:u w:val="single"/>
          <w:shd w:val="clear" w:fill="FFFFFF"/>
        </w:rPr>
        <w:t> （采购文件中明确的所属行业 ）行业；</w:t>
      </w:r>
      <w:r>
        <w:rPr>
          <w:rFonts w:hint="eastAsia" w:ascii="宋体" w:hAnsi="宋体" w:eastAsia="宋体" w:cs="宋体"/>
          <w:i w:val="0"/>
          <w:iCs w:val="0"/>
          <w:caps w:val="0"/>
          <w:color w:val="auto"/>
          <w:spacing w:val="0"/>
          <w:sz w:val="24"/>
          <w:szCs w:val="24"/>
          <w:shd w:val="clear" w:fill="FFFFFF"/>
        </w:rPr>
        <w:t>制造商为</w:t>
      </w:r>
      <w:r>
        <w:rPr>
          <w:rFonts w:hint="eastAsia" w:ascii="宋体" w:hAnsi="宋体" w:eastAsia="宋体" w:cs="宋体"/>
          <w:i w:val="0"/>
          <w:iCs w:val="0"/>
          <w:caps w:val="0"/>
          <w:color w:val="auto"/>
          <w:spacing w:val="0"/>
          <w:sz w:val="24"/>
          <w:szCs w:val="24"/>
          <w:u w:val="single"/>
          <w:shd w:val="clear" w:fill="FFFFFF"/>
        </w:rPr>
        <w:t>（企业名称），</w:t>
      </w:r>
      <w:r>
        <w:rPr>
          <w:rFonts w:hint="eastAsia" w:ascii="宋体" w:hAnsi="宋体" w:eastAsia="宋体" w:cs="宋体"/>
          <w:i w:val="0"/>
          <w:iCs w:val="0"/>
          <w:caps w:val="0"/>
          <w:color w:val="auto"/>
          <w:spacing w:val="0"/>
          <w:sz w:val="24"/>
          <w:szCs w:val="24"/>
          <w:shd w:val="clear" w:fill="FFFFFF"/>
        </w:rPr>
        <w:t>从业人员</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人，营业收入为</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万元，资产总额为</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万元，属于</w:t>
      </w:r>
      <w:r>
        <w:rPr>
          <w:rFonts w:hint="eastAsia" w:ascii="宋体" w:hAnsi="宋体" w:eastAsia="宋体" w:cs="宋体"/>
          <w:i w:val="0"/>
          <w:iCs w:val="0"/>
          <w:caps w:val="0"/>
          <w:color w:val="auto"/>
          <w:spacing w:val="0"/>
          <w:sz w:val="24"/>
          <w:szCs w:val="24"/>
          <w:u w:val="single"/>
          <w:shd w:val="clear" w:fill="FFFFFF"/>
        </w:rPr>
        <w:t>（中型企业、小型企业、微型企业）；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以上企业，不属于大企业的分支机构，不存在控股股东为大企业的情形，也不存在与大企业的负责人为同一人的情形。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本企业对上述声明内容的真实性负责。如有虚假，将依法承担相应责任。</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企业名称（盖章）：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日期：</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Style w:val="14"/>
          <w:rFonts w:hint="eastAsia" w:ascii="宋体" w:hAnsi="宋体" w:eastAsia="宋体" w:cs="宋体"/>
          <w:b/>
          <w:bCs/>
          <w:i w:val="0"/>
          <w:iCs w:val="0"/>
          <w:caps w:val="0"/>
          <w:color w:val="auto"/>
          <w:spacing w:val="0"/>
          <w:sz w:val="24"/>
          <w:szCs w:val="24"/>
          <w:shd w:val="clear" w:fill="FFFFFF"/>
        </w:rPr>
        <w:t>※注意：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82" w:firstLineChars="200"/>
        <w:jc w:val="left"/>
        <w:textAlignment w:val="auto"/>
        <w:rPr>
          <w:rFonts w:hint="eastAsia" w:ascii="宋体" w:hAnsi="宋体" w:eastAsia="宋体" w:cs="宋体"/>
          <w:color w:val="auto"/>
          <w:sz w:val="24"/>
          <w:szCs w:val="24"/>
        </w:rPr>
      </w:pPr>
      <w:r>
        <w:rPr>
          <w:rStyle w:val="14"/>
          <w:rFonts w:hint="eastAsia" w:ascii="宋体" w:hAnsi="宋体" w:eastAsia="宋体" w:cs="宋体"/>
          <w:b/>
          <w:bCs/>
          <w:i w:val="0"/>
          <w:iCs w:val="0"/>
          <w:caps w:val="0"/>
          <w:color w:val="auto"/>
          <w:spacing w:val="0"/>
          <w:sz w:val="24"/>
          <w:szCs w:val="24"/>
          <w:shd w:val="clear" w:fill="FFFFFF"/>
        </w:rPr>
        <w:t>1、从业人员、营业收入、资产总额填报上一年度数据，无上一年度数据的新成立企业可不填报。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82" w:firstLineChars="200"/>
        <w:jc w:val="left"/>
        <w:textAlignment w:val="auto"/>
        <w:rPr>
          <w:rFonts w:hint="eastAsia" w:ascii="宋体" w:hAnsi="宋体" w:eastAsia="宋体" w:cs="宋体"/>
          <w:color w:val="auto"/>
          <w:sz w:val="24"/>
          <w:szCs w:val="24"/>
        </w:rPr>
      </w:pPr>
      <w:r>
        <w:rPr>
          <w:rStyle w:val="14"/>
          <w:rFonts w:hint="eastAsia" w:ascii="宋体" w:hAnsi="宋体" w:eastAsia="宋体" w:cs="宋体"/>
          <w:b/>
          <w:bCs/>
          <w:i w:val="0"/>
          <w:iCs w:val="0"/>
          <w:caps w:val="0"/>
          <w:color w:val="auto"/>
          <w:spacing w:val="0"/>
          <w:sz w:val="24"/>
          <w:szCs w:val="24"/>
          <w:shd w:val="clear" w:fill="FFFFFF"/>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82" w:firstLineChars="200"/>
        <w:jc w:val="left"/>
        <w:textAlignment w:val="auto"/>
        <w:rPr>
          <w:rFonts w:hint="eastAsia" w:ascii="宋体" w:hAnsi="宋体" w:eastAsia="宋体" w:cs="宋体"/>
          <w:color w:val="auto"/>
          <w:sz w:val="24"/>
          <w:szCs w:val="24"/>
        </w:rPr>
      </w:pPr>
      <w:r>
        <w:rPr>
          <w:rStyle w:val="14"/>
          <w:rFonts w:hint="eastAsia" w:ascii="宋体" w:hAnsi="宋体" w:eastAsia="宋体" w:cs="宋体"/>
          <w:b/>
          <w:bCs/>
          <w:i w:val="0"/>
          <w:iCs w:val="0"/>
          <w:caps w:val="0"/>
          <w:color w:val="auto"/>
          <w:spacing w:val="0"/>
          <w:sz w:val="24"/>
          <w:szCs w:val="24"/>
          <w:shd w:val="clear" w:fill="FFFFFF"/>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val="0"/>
          <w:color w:val="auto"/>
          <w:sz w:val="24"/>
          <w:szCs w:val="24"/>
        </w:rPr>
      </w:pPr>
      <w:r>
        <w:rPr>
          <w:rStyle w:val="14"/>
          <w:rFonts w:hint="eastAsia" w:ascii="宋体" w:hAnsi="宋体" w:eastAsia="宋体" w:cs="宋体"/>
          <w:b/>
          <w:bCs/>
          <w:i w:val="0"/>
          <w:iCs w:val="0"/>
          <w:caps w:val="0"/>
          <w:color w:val="auto"/>
          <w:spacing w:val="0"/>
          <w:sz w:val="24"/>
          <w:szCs w:val="24"/>
          <w:shd w:val="clear" w:fill="FFFFFF"/>
        </w:rPr>
        <w:t>中小企业声明函（工程、服务）</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本公司（联合体）郑重声明，根据《政府采购促进中小企业发展管理办法》（财库﹝2020﹞46 号）的规定，本公司（联合体）参加</w:t>
      </w:r>
      <w:r>
        <w:rPr>
          <w:rFonts w:hint="eastAsia" w:ascii="宋体" w:hAnsi="宋体" w:eastAsia="宋体" w:cs="宋体"/>
          <w:i w:val="0"/>
          <w:iCs w:val="0"/>
          <w:caps w:val="0"/>
          <w:color w:val="auto"/>
          <w:spacing w:val="0"/>
          <w:sz w:val="24"/>
          <w:szCs w:val="24"/>
          <w:u w:val="single"/>
          <w:shd w:val="clear" w:fill="FFFFFF"/>
        </w:rPr>
        <w:t>（单位名称）</w:t>
      </w:r>
      <w:r>
        <w:rPr>
          <w:rFonts w:hint="eastAsia" w:ascii="宋体" w:hAnsi="宋体" w:eastAsia="宋体" w:cs="宋体"/>
          <w:i w:val="0"/>
          <w:iCs w:val="0"/>
          <w:caps w:val="0"/>
          <w:color w:val="auto"/>
          <w:spacing w:val="0"/>
          <w:sz w:val="24"/>
          <w:szCs w:val="24"/>
          <w:shd w:val="clear" w:fill="FFFFFF"/>
        </w:rPr>
        <w:t>的</w:t>
      </w:r>
      <w:r>
        <w:rPr>
          <w:rFonts w:hint="eastAsia" w:ascii="宋体" w:hAnsi="宋体" w:eastAsia="宋体" w:cs="宋体"/>
          <w:i w:val="0"/>
          <w:iCs w:val="0"/>
          <w:caps w:val="0"/>
          <w:color w:val="auto"/>
          <w:spacing w:val="0"/>
          <w:sz w:val="24"/>
          <w:szCs w:val="24"/>
          <w:u w:val="single"/>
          <w:shd w:val="clear" w:fill="FFFFFF"/>
        </w:rPr>
        <w:t>（项目名称）</w:t>
      </w:r>
      <w:r>
        <w:rPr>
          <w:rFonts w:hint="eastAsia" w:ascii="宋体" w:hAnsi="宋体" w:eastAsia="宋体" w:cs="宋体"/>
          <w:i w:val="0"/>
          <w:iCs w:val="0"/>
          <w:caps w:val="0"/>
          <w:color w:val="auto"/>
          <w:spacing w:val="0"/>
          <w:sz w:val="24"/>
          <w:szCs w:val="24"/>
          <w:shd w:val="clear" w:fill="FFFFFF"/>
        </w:rPr>
        <w:t>采购活动，工程的施工单位全部为符合政策要求的中小企业（或者：服务全部由符合政策要求的中小企业承接）。相关企业（含联合体中的中小企业、签订分包意向协议的中小企业）的具体情况如下：</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1. </w:t>
      </w:r>
      <w:r>
        <w:rPr>
          <w:rFonts w:hint="eastAsia" w:ascii="宋体" w:hAnsi="宋体" w:eastAsia="宋体" w:cs="宋体"/>
          <w:i w:val="0"/>
          <w:iCs w:val="0"/>
          <w:caps w:val="0"/>
          <w:color w:val="auto"/>
          <w:spacing w:val="0"/>
          <w:sz w:val="24"/>
          <w:szCs w:val="24"/>
          <w:u w:val="single"/>
          <w:shd w:val="clear" w:fill="FFFFFF"/>
        </w:rPr>
        <w:t>（标的名称）</w:t>
      </w:r>
      <w:r>
        <w:rPr>
          <w:rFonts w:hint="eastAsia" w:ascii="宋体" w:hAnsi="宋体" w:eastAsia="宋体" w:cs="宋体"/>
          <w:i w:val="0"/>
          <w:iCs w:val="0"/>
          <w:caps w:val="0"/>
          <w:color w:val="auto"/>
          <w:spacing w:val="0"/>
          <w:sz w:val="24"/>
          <w:szCs w:val="24"/>
          <w:shd w:val="clear" w:fill="FFFFFF"/>
        </w:rPr>
        <w:t>，属于</w:t>
      </w:r>
      <w:r>
        <w:rPr>
          <w:rFonts w:hint="eastAsia" w:ascii="宋体" w:hAnsi="宋体" w:eastAsia="宋体" w:cs="宋体"/>
          <w:i w:val="0"/>
          <w:iCs w:val="0"/>
          <w:caps w:val="0"/>
          <w:color w:val="auto"/>
          <w:spacing w:val="0"/>
          <w:sz w:val="24"/>
          <w:szCs w:val="24"/>
          <w:u w:val="single"/>
          <w:shd w:val="clear" w:fill="FFFFFF"/>
        </w:rPr>
        <w:t>（采购文件中明确的所属行业）</w:t>
      </w:r>
      <w:r>
        <w:rPr>
          <w:rFonts w:hint="eastAsia" w:ascii="宋体" w:hAnsi="宋体" w:eastAsia="宋体" w:cs="宋体"/>
          <w:i w:val="0"/>
          <w:iCs w:val="0"/>
          <w:caps w:val="0"/>
          <w:color w:val="auto"/>
          <w:spacing w:val="0"/>
          <w:sz w:val="24"/>
          <w:szCs w:val="24"/>
          <w:shd w:val="clear" w:fill="FFFFFF"/>
        </w:rPr>
        <w:t>；承建（承接）企业为</w:t>
      </w:r>
      <w:r>
        <w:rPr>
          <w:rFonts w:hint="eastAsia" w:ascii="宋体" w:hAnsi="宋体" w:eastAsia="宋体" w:cs="宋体"/>
          <w:i w:val="0"/>
          <w:iCs w:val="0"/>
          <w:caps w:val="0"/>
          <w:color w:val="auto"/>
          <w:spacing w:val="0"/>
          <w:sz w:val="24"/>
          <w:szCs w:val="24"/>
          <w:u w:val="single"/>
          <w:shd w:val="clear" w:fill="FFFFFF"/>
        </w:rPr>
        <w:t>（企业名称）</w:t>
      </w:r>
      <w:r>
        <w:rPr>
          <w:rFonts w:hint="eastAsia" w:ascii="宋体" w:hAnsi="宋体" w:eastAsia="宋体" w:cs="宋体"/>
          <w:i w:val="0"/>
          <w:iCs w:val="0"/>
          <w:caps w:val="0"/>
          <w:color w:val="auto"/>
          <w:spacing w:val="0"/>
          <w:sz w:val="24"/>
          <w:szCs w:val="24"/>
          <w:shd w:val="clear" w:fill="FFFFFF"/>
        </w:rPr>
        <w:t>，从业人员</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人，营业收入为</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万元，资产总额为</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万元</w:t>
      </w:r>
      <w:r>
        <w:rPr>
          <w:rFonts w:hint="eastAsia" w:ascii="宋体" w:hAnsi="宋体" w:eastAsia="宋体" w:cs="宋体"/>
          <w:i w:val="0"/>
          <w:iCs w:val="0"/>
          <w:caps w:val="0"/>
          <w:color w:val="auto"/>
          <w:spacing w:val="0"/>
          <w:sz w:val="24"/>
          <w:szCs w:val="24"/>
          <w:shd w:val="clear" w:fill="FFFFFF"/>
          <w:vertAlign w:val="superscript"/>
        </w:rPr>
        <w:t>1</w:t>
      </w:r>
      <w:r>
        <w:rPr>
          <w:rFonts w:hint="eastAsia" w:ascii="宋体" w:hAnsi="宋体" w:eastAsia="宋体" w:cs="宋体"/>
          <w:i w:val="0"/>
          <w:iCs w:val="0"/>
          <w:caps w:val="0"/>
          <w:color w:val="auto"/>
          <w:spacing w:val="0"/>
          <w:sz w:val="24"/>
          <w:szCs w:val="24"/>
          <w:shd w:val="clear" w:fill="FFFFFF"/>
        </w:rPr>
        <w:t>，属于</w:t>
      </w:r>
      <w:r>
        <w:rPr>
          <w:rFonts w:hint="eastAsia" w:ascii="宋体" w:hAnsi="宋体" w:eastAsia="宋体" w:cs="宋体"/>
          <w:i w:val="0"/>
          <w:iCs w:val="0"/>
          <w:caps w:val="0"/>
          <w:color w:val="auto"/>
          <w:spacing w:val="0"/>
          <w:sz w:val="24"/>
          <w:szCs w:val="24"/>
          <w:u w:val="single"/>
          <w:shd w:val="clear" w:fill="FFFFFF"/>
        </w:rPr>
        <w:t>（中型企业、小型企业、微型企业）；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2. </w:t>
      </w:r>
      <w:r>
        <w:rPr>
          <w:rFonts w:hint="eastAsia" w:ascii="宋体" w:hAnsi="宋体" w:eastAsia="宋体" w:cs="宋体"/>
          <w:i w:val="0"/>
          <w:iCs w:val="0"/>
          <w:caps w:val="0"/>
          <w:color w:val="auto"/>
          <w:spacing w:val="0"/>
          <w:sz w:val="24"/>
          <w:szCs w:val="24"/>
          <w:u w:val="single"/>
          <w:shd w:val="clear" w:fill="FFFFFF"/>
        </w:rPr>
        <w:t>（标的名称）</w:t>
      </w:r>
      <w:r>
        <w:rPr>
          <w:rFonts w:hint="eastAsia" w:ascii="宋体" w:hAnsi="宋体" w:eastAsia="宋体" w:cs="宋体"/>
          <w:i w:val="0"/>
          <w:iCs w:val="0"/>
          <w:caps w:val="0"/>
          <w:color w:val="auto"/>
          <w:spacing w:val="0"/>
          <w:sz w:val="24"/>
          <w:szCs w:val="24"/>
          <w:shd w:val="clear" w:fill="FFFFFF"/>
        </w:rPr>
        <w:t>，属于</w:t>
      </w:r>
      <w:r>
        <w:rPr>
          <w:rFonts w:hint="eastAsia" w:ascii="宋体" w:hAnsi="宋体" w:eastAsia="宋体" w:cs="宋体"/>
          <w:i w:val="0"/>
          <w:iCs w:val="0"/>
          <w:caps w:val="0"/>
          <w:color w:val="auto"/>
          <w:spacing w:val="0"/>
          <w:sz w:val="24"/>
          <w:szCs w:val="24"/>
          <w:u w:val="single"/>
          <w:shd w:val="clear" w:fill="FFFFFF"/>
        </w:rPr>
        <w:t>（采购文件中明确的所属行业）；</w:t>
      </w:r>
      <w:r>
        <w:rPr>
          <w:rFonts w:hint="eastAsia" w:ascii="宋体" w:hAnsi="宋体" w:eastAsia="宋体" w:cs="宋体"/>
          <w:i w:val="0"/>
          <w:iCs w:val="0"/>
          <w:caps w:val="0"/>
          <w:color w:val="auto"/>
          <w:spacing w:val="0"/>
          <w:sz w:val="24"/>
          <w:szCs w:val="24"/>
          <w:shd w:val="clear" w:fill="FFFFFF"/>
        </w:rPr>
        <w:t>承建（承接）企业为</w:t>
      </w:r>
      <w:r>
        <w:rPr>
          <w:rFonts w:hint="eastAsia" w:ascii="宋体" w:hAnsi="宋体" w:eastAsia="宋体" w:cs="宋体"/>
          <w:i w:val="0"/>
          <w:iCs w:val="0"/>
          <w:caps w:val="0"/>
          <w:color w:val="auto"/>
          <w:spacing w:val="0"/>
          <w:sz w:val="24"/>
          <w:szCs w:val="24"/>
          <w:u w:val="single"/>
          <w:shd w:val="clear" w:fill="FFFFFF"/>
        </w:rPr>
        <w:t>（企业名称）</w:t>
      </w:r>
      <w:r>
        <w:rPr>
          <w:rFonts w:hint="eastAsia" w:ascii="宋体" w:hAnsi="宋体" w:eastAsia="宋体" w:cs="宋体"/>
          <w:i w:val="0"/>
          <w:iCs w:val="0"/>
          <w:caps w:val="0"/>
          <w:color w:val="auto"/>
          <w:spacing w:val="0"/>
          <w:sz w:val="24"/>
          <w:szCs w:val="24"/>
          <w:shd w:val="clear" w:fill="FFFFFF"/>
        </w:rPr>
        <w:t>，从业人员</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人，营业收入为</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万元，资产总额为</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万元，属于</w:t>
      </w:r>
      <w:r>
        <w:rPr>
          <w:rFonts w:hint="eastAsia" w:ascii="宋体" w:hAnsi="宋体" w:eastAsia="宋体" w:cs="宋体"/>
          <w:i w:val="0"/>
          <w:iCs w:val="0"/>
          <w:caps w:val="0"/>
          <w:color w:val="auto"/>
          <w:spacing w:val="0"/>
          <w:sz w:val="24"/>
          <w:szCs w:val="24"/>
          <w:u w:val="single"/>
          <w:shd w:val="clear" w:fill="FFFFFF"/>
        </w:rPr>
        <w:t>（中型企业、小型企业、微型企业）；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以上企业，不属于大企业的分支机构，不存在控股股东为大企业的情形，也不存在与大企业的负责人为同一人的情形。</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本企业对上述声明内容的真实性负责。如有虚假，将依法承担相应责任。</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xml:space="preserve">企业名称（盖章）：              </w:t>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 xml:space="preserve">    日期：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※注意：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Cs w:val="24"/>
          <w:lang w:eastAsia="zh-CN"/>
        </w:rPr>
      </w:pPr>
      <w:r>
        <w:rPr>
          <w:rFonts w:hint="eastAsia" w:ascii="宋体" w:hAnsi="宋体" w:eastAsia="宋体" w:cs="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r>
        <w:rPr>
          <w:rFonts w:hint="eastAsia" w:ascii="宋体" w:hAnsi="宋体" w:eastAsia="宋体" w:cs="宋体"/>
          <w:sz w:val="24"/>
          <w:szCs w:val="24"/>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Style w:val="14"/>
          <w:rFonts w:hint="eastAsia" w:ascii="宋体" w:hAnsi="宋体" w:eastAsia="宋体" w:cs="宋体"/>
          <w:b/>
          <w:bCs/>
          <w:i w:val="0"/>
          <w:iCs w:val="0"/>
          <w:caps w:val="0"/>
          <w:color w:val="auto"/>
          <w:spacing w:val="0"/>
          <w:sz w:val="24"/>
          <w:szCs w:val="24"/>
          <w:shd w:val="clear" w:fill="FFFFFF"/>
        </w:rPr>
        <w:t>残疾人福利性单位声明函</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Style w:val="14"/>
          <w:rFonts w:hint="eastAsia" w:ascii="宋体" w:hAnsi="宋体" w:eastAsia="宋体" w:cs="宋体"/>
          <w:b/>
          <w:bCs/>
          <w:i w:val="0"/>
          <w:iCs w:val="0"/>
          <w:caps w:val="0"/>
          <w:color w:val="auto"/>
          <w:spacing w:val="0"/>
          <w:sz w:val="24"/>
          <w:szCs w:val="24"/>
          <w:shd w:val="clear" w:fill="FFFFFF"/>
        </w:rPr>
        <w:t>（以资格条件落实中小企业扶持政策时适用，若有）</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Style w:val="14"/>
          <w:rFonts w:hint="eastAsia" w:ascii="宋体" w:hAnsi="宋体" w:eastAsia="宋体" w:cs="宋体"/>
          <w:b/>
          <w:bCs/>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i w:val="0"/>
          <w:iCs w:val="0"/>
          <w:caps w:val="0"/>
          <w:color w:val="auto"/>
          <w:spacing w:val="0"/>
          <w:sz w:val="24"/>
          <w:szCs w:val="24"/>
          <w:u w:val="single"/>
          <w:shd w:val="clear" w:fill="FFFFFF"/>
        </w:rPr>
        <w:t>（填写“项目名称”）</w:t>
      </w:r>
      <w:r>
        <w:rPr>
          <w:rFonts w:hint="eastAsia" w:ascii="宋体" w:hAnsi="宋体" w:eastAsia="宋体" w:cs="宋体"/>
          <w:i w:val="0"/>
          <w:iCs w:val="0"/>
          <w:caps w:val="0"/>
          <w:color w:val="auto"/>
          <w:spacing w:val="0"/>
          <w:sz w:val="24"/>
          <w:szCs w:val="24"/>
          <w:shd w:val="clear" w:fill="FFFFFF"/>
        </w:rPr>
        <w:t>项目采购活动：</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）提供本投标人制造的</w:t>
      </w:r>
      <w:r>
        <w:rPr>
          <w:rFonts w:hint="eastAsia" w:ascii="宋体" w:hAnsi="宋体" w:eastAsia="宋体" w:cs="宋体"/>
          <w:i w:val="0"/>
          <w:iCs w:val="0"/>
          <w:caps w:val="0"/>
          <w:color w:val="auto"/>
          <w:spacing w:val="0"/>
          <w:sz w:val="24"/>
          <w:szCs w:val="24"/>
          <w:u w:val="single"/>
          <w:shd w:val="clear" w:fill="FFFFFF"/>
        </w:rPr>
        <w:t>（填写“所投采购包、品目号”）</w:t>
      </w:r>
      <w:r>
        <w:rPr>
          <w:rFonts w:hint="eastAsia" w:ascii="宋体" w:hAnsi="宋体" w:eastAsia="宋体" w:cs="宋体"/>
          <w:i w:val="0"/>
          <w:iCs w:val="0"/>
          <w:caps w:val="0"/>
          <w:color w:val="auto"/>
          <w:spacing w:val="0"/>
          <w:sz w:val="24"/>
          <w:szCs w:val="24"/>
          <w:shd w:val="clear" w:fill="FFFFFF"/>
        </w:rPr>
        <w:t>货物，或提供其他残疾人福利性单位制造的</w:t>
      </w:r>
      <w:r>
        <w:rPr>
          <w:rFonts w:hint="eastAsia" w:ascii="宋体" w:hAnsi="宋体" w:eastAsia="宋体" w:cs="宋体"/>
          <w:i w:val="0"/>
          <w:iCs w:val="0"/>
          <w:caps w:val="0"/>
          <w:color w:val="auto"/>
          <w:spacing w:val="0"/>
          <w:sz w:val="24"/>
          <w:szCs w:val="24"/>
          <w:u w:val="single"/>
          <w:shd w:val="clear" w:fill="FFFFFF"/>
        </w:rPr>
        <w:t>（填写“所投采购包、品目号”）</w:t>
      </w:r>
      <w:r>
        <w:rPr>
          <w:rFonts w:hint="eastAsia" w:ascii="宋体" w:hAnsi="宋体" w:eastAsia="宋体" w:cs="宋体"/>
          <w:i w:val="0"/>
          <w:iCs w:val="0"/>
          <w:caps w:val="0"/>
          <w:color w:val="auto"/>
          <w:spacing w:val="0"/>
          <w:sz w:val="24"/>
          <w:szCs w:val="24"/>
          <w:shd w:val="clear" w:fill="FFFFFF"/>
        </w:rPr>
        <w:t>货物（不包括使用非残疾人福利性单位注册商标的货物）。（说明：只有部分货物由残疾人福利企业制造的，在该货物后标※）</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）由本投标人承建的（填写“所投采购包、品目号”）工程</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）由本投标人承接的（填写“所投采购包、品目号”）服务；</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本投标人对上述声明的真实性负责。如有虚假，将依法承担相应责任。</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备注：</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1、请投标人按照实际情况编制填写本声明函，并在相应的（）中打“√”。</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2、若《残疾人福利性单位声明函》内容不真实，</w:t>
      </w:r>
      <w:r>
        <w:rPr>
          <w:rStyle w:val="14"/>
          <w:rFonts w:hint="eastAsia" w:ascii="宋体" w:hAnsi="宋体" w:eastAsia="宋体" w:cs="宋体"/>
          <w:b/>
          <w:bCs/>
          <w:i w:val="0"/>
          <w:iCs w:val="0"/>
          <w:caps w:val="0"/>
          <w:color w:val="auto"/>
          <w:spacing w:val="0"/>
          <w:sz w:val="24"/>
          <w:szCs w:val="24"/>
          <w:shd w:val="clear" w:fill="FFFFFF"/>
        </w:rPr>
        <w:t>视为提供虚假材料。</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投标人：</w:t>
      </w:r>
      <w:r>
        <w:rPr>
          <w:rFonts w:hint="eastAsia" w:ascii="宋体" w:hAnsi="宋体" w:eastAsia="宋体" w:cs="宋体"/>
          <w:i w:val="0"/>
          <w:iCs w:val="0"/>
          <w:caps w:val="0"/>
          <w:color w:val="auto"/>
          <w:spacing w:val="0"/>
          <w:sz w:val="24"/>
          <w:szCs w:val="24"/>
          <w:u w:val="single"/>
          <w:shd w:val="clear" w:fill="FFFFFF"/>
        </w:rPr>
        <w:t>（全称并加盖单位公章）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日期：</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年</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附：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auto"/>
          <w:sz w:val="24"/>
          <w:szCs w:val="24"/>
        </w:rPr>
      </w:pPr>
      <w:r>
        <w:rPr>
          <w:rStyle w:val="14"/>
          <w:rFonts w:hint="eastAsia" w:ascii="宋体" w:hAnsi="宋体" w:eastAsia="宋体" w:cs="宋体"/>
          <w:b/>
          <w:bCs/>
          <w:i w:val="0"/>
          <w:iCs w:val="0"/>
          <w:caps w:val="0"/>
          <w:color w:val="auto"/>
          <w:spacing w:val="0"/>
          <w:sz w:val="24"/>
          <w:szCs w:val="24"/>
          <w:shd w:val="clear" w:fill="FFFFFF"/>
        </w:rPr>
        <w:t>监狱企业证明材料</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Style w:val="14"/>
          <w:rFonts w:hint="eastAsia" w:ascii="宋体" w:hAnsi="宋体" w:eastAsia="宋体" w:cs="宋体"/>
          <w:b/>
          <w:bCs/>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投标人为监狱企业，提供本单位制造的货物（承接的服务），并在投标文件中提供省级以上监狱管理局、戒毒管理局（含新疆生产建设兵团）出具的属于监狱企业的证明文件。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br w:type="textWrapping"/>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Style w:val="14"/>
          <w:rFonts w:hint="eastAsia" w:ascii="宋体" w:hAnsi="宋体" w:eastAsia="宋体" w:cs="宋体"/>
          <w:b/>
          <w:bCs/>
          <w:i w:val="0"/>
          <w:iCs w:val="0"/>
          <w:caps w:val="0"/>
          <w:color w:val="auto"/>
          <w:spacing w:val="0"/>
          <w:sz w:val="24"/>
          <w:szCs w:val="24"/>
          <w:shd w:val="clear" w:fill="FFFFFF"/>
        </w:rPr>
        <w:t>二-10联合体协议（若有）</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致：</w:t>
      </w:r>
      <w:r>
        <w:rPr>
          <w:rFonts w:hint="eastAsia" w:ascii="宋体" w:hAnsi="宋体" w:eastAsia="宋体" w:cs="宋体"/>
          <w:i w:val="0"/>
          <w:iCs w:val="0"/>
          <w:caps w:val="0"/>
          <w:color w:val="auto"/>
          <w:spacing w:val="0"/>
          <w:sz w:val="24"/>
          <w:szCs w:val="24"/>
          <w:u w:val="single"/>
          <w:shd w:val="clear" w:fill="FFFFFF"/>
        </w:rPr>
        <w:t>           （采购人或采购代理机构）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兹有</w:t>
      </w:r>
      <w:r>
        <w:rPr>
          <w:rFonts w:hint="eastAsia" w:ascii="宋体" w:hAnsi="宋体" w:eastAsia="宋体" w:cs="宋体"/>
          <w:i w:val="0"/>
          <w:iCs w:val="0"/>
          <w:caps w:val="0"/>
          <w:color w:val="auto"/>
          <w:spacing w:val="0"/>
          <w:sz w:val="24"/>
          <w:szCs w:val="24"/>
          <w:u w:val="single"/>
          <w:shd w:val="clear" w:fill="FFFFFF"/>
        </w:rPr>
        <w:t>（填写“联合体中各方的全称”，各方的全称之间请用“、”分割）</w:t>
      </w:r>
      <w:r>
        <w:rPr>
          <w:rFonts w:hint="eastAsia" w:ascii="宋体" w:hAnsi="宋体" w:eastAsia="宋体" w:cs="宋体"/>
          <w:i w:val="0"/>
          <w:iCs w:val="0"/>
          <w:caps w:val="0"/>
          <w:color w:val="auto"/>
          <w:spacing w:val="0"/>
          <w:sz w:val="24"/>
          <w:szCs w:val="24"/>
          <w:shd w:val="clear" w:fill="FFFFFF"/>
        </w:rPr>
        <w:t>自愿组成联合体，共同参加</w:t>
      </w:r>
      <w:r>
        <w:rPr>
          <w:rFonts w:hint="eastAsia" w:ascii="宋体" w:hAnsi="宋体" w:eastAsia="宋体" w:cs="宋体"/>
          <w:i w:val="0"/>
          <w:iCs w:val="0"/>
          <w:caps w:val="0"/>
          <w:color w:val="auto"/>
          <w:spacing w:val="0"/>
          <w:sz w:val="24"/>
          <w:szCs w:val="24"/>
          <w:u w:val="single"/>
          <w:shd w:val="clear" w:fill="FFFFFF"/>
        </w:rPr>
        <w:t>（填写“项目名称”） </w:t>
      </w:r>
      <w:r>
        <w:rPr>
          <w:rFonts w:hint="eastAsia" w:ascii="宋体" w:hAnsi="宋体" w:eastAsia="宋体" w:cs="宋体"/>
          <w:i w:val="0"/>
          <w:iCs w:val="0"/>
          <w:caps w:val="0"/>
          <w:color w:val="auto"/>
          <w:spacing w:val="0"/>
          <w:sz w:val="24"/>
          <w:szCs w:val="24"/>
          <w:shd w:val="clear" w:fill="FFFFFF"/>
        </w:rPr>
        <w:t>项目（项目编号：</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）的投标。现就联合体参加本项目投标的有关事宜达成下列协议：</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一、联合体各方应承担的工作和义务具体如下：</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1、牵头方（</w:t>
      </w:r>
      <w:r>
        <w:rPr>
          <w:rFonts w:hint="eastAsia" w:ascii="宋体" w:hAnsi="宋体" w:eastAsia="宋体" w:cs="宋体"/>
          <w:i w:val="0"/>
          <w:iCs w:val="0"/>
          <w:caps w:val="0"/>
          <w:color w:val="auto"/>
          <w:spacing w:val="0"/>
          <w:sz w:val="24"/>
          <w:szCs w:val="24"/>
          <w:u w:val="single"/>
          <w:shd w:val="clear" w:fill="FFFFFF"/>
        </w:rPr>
        <w:t>全称</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u w:val="single"/>
          <w:shd w:val="clear" w:fill="FFFFFF"/>
        </w:rPr>
        <w:t> （填写“工作及义务的具体内容”） </w:t>
      </w:r>
      <w:r>
        <w:rPr>
          <w:rFonts w:hint="eastAsia" w:ascii="宋体" w:hAnsi="宋体" w:eastAsia="宋体" w:cs="宋体"/>
          <w:i w:val="0"/>
          <w:iCs w:val="0"/>
          <w:caps w:val="0"/>
          <w:color w:val="auto"/>
          <w:spacing w:val="0"/>
          <w:sz w:val="24"/>
          <w:szCs w:val="24"/>
          <w:shd w:val="clear" w:fill="FFFFFF"/>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2、成员方：</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2.1</w:t>
      </w:r>
      <w:r>
        <w:rPr>
          <w:rFonts w:hint="eastAsia" w:ascii="宋体" w:hAnsi="宋体" w:eastAsia="宋体" w:cs="宋体"/>
          <w:i w:val="0"/>
          <w:iCs w:val="0"/>
          <w:caps w:val="0"/>
          <w:color w:val="auto"/>
          <w:spacing w:val="0"/>
          <w:sz w:val="24"/>
          <w:szCs w:val="24"/>
          <w:u w:val="single"/>
          <w:shd w:val="clear" w:fill="FFFFFF"/>
        </w:rPr>
        <w:t>（成员一的全称）</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u w:val="single"/>
          <w:shd w:val="clear" w:fill="FFFFFF"/>
        </w:rPr>
        <w:t> （填写“工作及义务的具体内容”） </w:t>
      </w:r>
      <w:r>
        <w:rPr>
          <w:rFonts w:hint="eastAsia" w:ascii="宋体" w:hAnsi="宋体" w:eastAsia="宋体" w:cs="宋体"/>
          <w:i w:val="0"/>
          <w:iCs w:val="0"/>
          <w:caps w:val="0"/>
          <w:color w:val="auto"/>
          <w:spacing w:val="0"/>
          <w:sz w:val="24"/>
          <w:szCs w:val="24"/>
          <w:shd w:val="clear" w:fill="FFFFFF"/>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35"/>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二、联合体各方的合同金额占比，具体如下：</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35"/>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1.牵头方（</w:t>
      </w:r>
      <w:r>
        <w:rPr>
          <w:rFonts w:hint="eastAsia" w:ascii="宋体" w:hAnsi="宋体" w:eastAsia="宋体" w:cs="宋体"/>
          <w:i w:val="0"/>
          <w:iCs w:val="0"/>
          <w:caps w:val="0"/>
          <w:color w:val="auto"/>
          <w:spacing w:val="0"/>
          <w:sz w:val="24"/>
          <w:szCs w:val="24"/>
          <w:u w:val="single"/>
          <w:shd w:val="clear" w:fill="FFFFFF"/>
        </w:rPr>
        <w:t>  全称 </w:t>
      </w:r>
      <w:r>
        <w:rPr>
          <w:rFonts w:hint="eastAsia" w:ascii="宋体" w:hAnsi="宋体" w:eastAsia="宋体" w:cs="宋体"/>
          <w:i w:val="0"/>
          <w:iCs w:val="0"/>
          <w:caps w:val="0"/>
          <w:color w:val="auto"/>
          <w:spacing w:val="0"/>
          <w:sz w:val="24"/>
          <w:szCs w:val="24"/>
          <w:shd w:val="clear" w:fill="FFFFFF"/>
        </w:rPr>
        <w:t>）的合同金额占合同总额的＿%；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35"/>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2.成员方：</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35"/>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2.1（</w:t>
      </w:r>
      <w:r>
        <w:rPr>
          <w:rFonts w:hint="eastAsia" w:ascii="宋体" w:hAnsi="宋体" w:eastAsia="宋体" w:cs="宋体"/>
          <w:i w:val="0"/>
          <w:iCs w:val="0"/>
          <w:caps w:val="0"/>
          <w:color w:val="auto"/>
          <w:spacing w:val="0"/>
          <w:sz w:val="24"/>
          <w:szCs w:val="24"/>
          <w:u w:val="single"/>
          <w:shd w:val="clear" w:fill="FFFFFF"/>
        </w:rPr>
        <w:t> 成员1的全称 </w:t>
      </w:r>
      <w:r>
        <w:rPr>
          <w:rFonts w:hint="eastAsia" w:ascii="宋体" w:hAnsi="宋体" w:eastAsia="宋体" w:cs="宋体"/>
          <w:i w:val="0"/>
          <w:iCs w:val="0"/>
          <w:caps w:val="0"/>
          <w:color w:val="auto"/>
          <w:spacing w:val="0"/>
          <w:sz w:val="24"/>
          <w:szCs w:val="24"/>
          <w:shd w:val="clear" w:fill="FFFFFF"/>
        </w:rPr>
        <w:t>）的合同金额占合同总额的＿%；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35"/>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三、联合体各方约定：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1、由</w:t>
      </w:r>
      <w:r>
        <w:rPr>
          <w:rFonts w:hint="eastAsia" w:ascii="宋体" w:hAnsi="宋体" w:eastAsia="宋体" w:cs="宋体"/>
          <w:i w:val="0"/>
          <w:iCs w:val="0"/>
          <w:caps w:val="0"/>
          <w:color w:val="auto"/>
          <w:spacing w:val="0"/>
          <w:sz w:val="24"/>
          <w:szCs w:val="24"/>
          <w:u w:val="single"/>
          <w:shd w:val="clear" w:fill="FFFFFF"/>
        </w:rPr>
        <w:t>（填写“牵头方的全称”）</w:t>
      </w:r>
      <w:r>
        <w:rPr>
          <w:rFonts w:hint="eastAsia" w:ascii="宋体" w:hAnsi="宋体" w:eastAsia="宋体" w:cs="宋体"/>
          <w:i w:val="0"/>
          <w:iCs w:val="0"/>
          <w:caps w:val="0"/>
          <w:color w:val="auto"/>
          <w:spacing w:val="0"/>
          <w:sz w:val="24"/>
          <w:szCs w:val="24"/>
          <w:shd w:val="clear" w:fill="FFFFFF"/>
        </w:rPr>
        <w:t>代表联合体办理参加本项目投标的有关事宜（包括但不限于：注册账号、派出投标人代表、提交投标文件及参加开标、谈判、澄清等），在此过程中，投标人代表签字的一切文件和处理结果，联合体均予以认可并对此承担责任。</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2、联合体各方约定由</w:t>
      </w:r>
      <w:r>
        <w:rPr>
          <w:rFonts w:hint="eastAsia" w:ascii="宋体" w:hAnsi="宋体" w:eastAsia="宋体" w:cs="宋体"/>
          <w:i w:val="0"/>
          <w:iCs w:val="0"/>
          <w:caps w:val="0"/>
          <w:color w:val="auto"/>
          <w:spacing w:val="0"/>
          <w:sz w:val="24"/>
          <w:szCs w:val="24"/>
          <w:u w:val="single"/>
          <w:shd w:val="clear" w:fill="FFFFFF"/>
        </w:rPr>
        <w:t>（填写“牵头方的全称”）</w:t>
      </w:r>
      <w:r>
        <w:rPr>
          <w:rFonts w:hint="eastAsia" w:ascii="宋体" w:hAnsi="宋体" w:eastAsia="宋体" w:cs="宋体"/>
          <w:i w:val="0"/>
          <w:iCs w:val="0"/>
          <w:caps w:val="0"/>
          <w:color w:val="auto"/>
          <w:spacing w:val="0"/>
          <w:sz w:val="24"/>
          <w:szCs w:val="24"/>
          <w:shd w:val="clear" w:fill="FFFFFF"/>
        </w:rPr>
        <w:t>代表联合体办理投标保证金事宜。</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3、根据福建省财政厅文件（闽财购[2008]10号）的规定，若本项目采用综合评分法，则联合体只能确定由其中一方的条件参与商务部分的评标。因此，联合体各方约定以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i w:val="0"/>
          <w:iCs w:val="0"/>
          <w:caps w:val="0"/>
          <w:color w:val="auto"/>
          <w:spacing w:val="0"/>
          <w:sz w:val="24"/>
          <w:szCs w:val="24"/>
          <w:u w:val="single"/>
          <w:shd w:val="clear" w:fill="FFFFFF"/>
        </w:rPr>
        <w:t>（应填写“其中一方的全称”，如：联合体确定以成员一的条件参与商务部分的评标，则填写“成员一的全称”…；否则填写“无”）</w:t>
      </w:r>
      <w:r>
        <w:rPr>
          <w:rFonts w:hint="eastAsia" w:ascii="宋体" w:hAnsi="宋体" w:eastAsia="宋体" w:cs="宋体"/>
          <w:i w:val="0"/>
          <w:iCs w:val="0"/>
          <w:caps w:val="0"/>
          <w:color w:val="auto"/>
          <w:spacing w:val="0"/>
          <w:sz w:val="24"/>
          <w:szCs w:val="24"/>
          <w:shd w:val="clear" w:fill="FFFFFF"/>
        </w:rPr>
        <w:t>的条件参与商务部分的评标。</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四、若中标，牵头方将代表联合体与采购人就合同签订事宜进行协商；若协商一致，则联合体各方将共同与采购人签订政府采购合同，并就政府采购合同约定的事项对采购人承担连带责任。</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五、本协议自签署之日起生效，政府采购合同履行完毕后自动失效。</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六、本协议一式</w:t>
      </w:r>
      <w:r>
        <w:rPr>
          <w:rFonts w:hint="eastAsia" w:ascii="宋体" w:hAnsi="宋体" w:eastAsia="宋体" w:cs="宋体"/>
          <w:i w:val="0"/>
          <w:iCs w:val="0"/>
          <w:caps w:val="0"/>
          <w:color w:val="auto"/>
          <w:spacing w:val="0"/>
          <w:sz w:val="24"/>
          <w:szCs w:val="24"/>
          <w:u w:val="single"/>
          <w:shd w:val="clear" w:fill="FFFFFF"/>
        </w:rPr>
        <w:t>（填写具体份数）</w:t>
      </w:r>
      <w:r>
        <w:rPr>
          <w:rFonts w:hint="eastAsia" w:ascii="宋体" w:hAnsi="宋体" w:eastAsia="宋体" w:cs="宋体"/>
          <w:i w:val="0"/>
          <w:iCs w:val="0"/>
          <w:caps w:val="0"/>
          <w:color w:val="auto"/>
          <w:spacing w:val="0"/>
          <w:sz w:val="24"/>
          <w:szCs w:val="24"/>
          <w:shd w:val="clear" w:fill="FFFFFF"/>
        </w:rPr>
        <w:t>份，联合体各方各执一份，投标文件中提交一份。</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（以下无正文）</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牵头方：</w:t>
      </w:r>
      <w:r>
        <w:rPr>
          <w:rFonts w:hint="eastAsia" w:ascii="宋体" w:hAnsi="宋体" w:eastAsia="宋体" w:cs="宋体"/>
          <w:i w:val="0"/>
          <w:iCs w:val="0"/>
          <w:caps w:val="0"/>
          <w:color w:val="auto"/>
          <w:spacing w:val="0"/>
          <w:sz w:val="24"/>
          <w:szCs w:val="24"/>
          <w:u w:val="single"/>
          <w:shd w:val="clear" w:fill="FFFFFF"/>
        </w:rPr>
        <w:t>（全称并加盖单位公章）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法定代表人或其委托代理人：</w:t>
      </w:r>
      <w:r>
        <w:rPr>
          <w:rFonts w:hint="eastAsia" w:ascii="宋体" w:hAnsi="宋体" w:eastAsia="宋体" w:cs="宋体"/>
          <w:i w:val="0"/>
          <w:iCs w:val="0"/>
          <w:caps w:val="0"/>
          <w:color w:val="auto"/>
          <w:spacing w:val="0"/>
          <w:sz w:val="24"/>
          <w:szCs w:val="24"/>
          <w:u w:val="single"/>
          <w:shd w:val="clear" w:fill="FFFFFF"/>
        </w:rPr>
        <w:t>  （签字或盖章）  </w:t>
      </w: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成员一：</w:t>
      </w:r>
      <w:r>
        <w:rPr>
          <w:rFonts w:hint="eastAsia" w:ascii="宋体" w:hAnsi="宋体" w:eastAsia="宋体" w:cs="宋体"/>
          <w:i w:val="0"/>
          <w:iCs w:val="0"/>
          <w:caps w:val="0"/>
          <w:color w:val="auto"/>
          <w:spacing w:val="0"/>
          <w:sz w:val="24"/>
          <w:szCs w:val="24"/>
          <w:u w:val="single"/>
          <w:shd w:val="clear" w:fill="FFFFFF"/>
        </w:rPr>
        <w:t>（全称并加盖成员一的单位公章）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法定代表人或其委托代理人：</w:t>
      </w:r>
      <w:r>
        <w:rPr>
          <w:rFonts w:hint="eastAsia" w:ascii="宋体" w:hAnsi="宋体" w:eastAsia="宋体" w:cs="宋体"/>
          <w:i w:val="0"/>
          <w:iCs w:val="0"/>
          <w:caps w:val="0"/>
          <w:color w:val="auto"/>
          <w:spacing w:val="0"/>
          <w:sz w:val="24"/>
          <w:szCs w:val="24"/>
          <w:u w:val="single"/>
          <w:shd w:val="clear" w:fill="FFFFFF"/>
        </w:rPr>
        <w:t>  （签字或盖章）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成员**：</w:t>
      </w:r>
      <w:r>
        <w:rPr>
          <w:rFonts w:hint="eastAsia" w:ascii="宋体" w:hAnsi="宋体" w:eastAsia="宋体" w:cs="宋体"/>
          <w:i w:val="0"/>
          <w:iCs w:val="0"/>
          <w:caps w:val="0"/>
          <w:color w:val="auto"/>
          <w:spacing w:val="0"/>
          <w:sz w:val="24"/>
          <w:szCs w:val="24"/>
          <w:u w:val="single"/>
          <w:shd w:val="clear" w:fill="FFFFFF"/>
        </w:rPr>
        <w:t>（全称并加盖成员**的单位公章）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法定代表人或其委托代理人：</w:t>
      </w:r>
      <w:r>
        <w:rPr>
          <w:rFonts w:hint="eastAsia" w:ascii="宋体" w:hAnsi="宋体" w:eastAsia="宋体" w:cs="宋体"/>
          <w:i w:val="0"/>
          <w:iCs w:val="0"/>
          <w:caps w:val="0"/>
          <w:color w:val="auto"/>
          <w:spacing w:val="0"/>
          <w:sz w:val="24"/>
          <w:szCs w:val="24"/>
          <w:u w:val="single"/>
          <w:shd w:val="clear" w:fill="FFFFFF"/>
        </w:rPr>
        <w:t>  （签字或盖章）  </w:t>
      </w: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签署日期：</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年</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※注意：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1、招标文件接受联合体投标且投标人为联合体的，投标人应提供本协议；否则无须提供。</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2、本协议由委托代理人签字或盖章的，应按照本章载明的格式提供“单位授权书”。</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3、在以联合体形式落实中小企业预留份额项目中，投标人除了要提供《中小企业声明函》，还需提供本协议。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Style w:val="14"/>
          <w:rFonts w:hint="eastAsia" w:ascii="宋体" w:hAnsi="宋体" w:eastAsia="宋体" w:cs="宋体"/>
          <w:b/>
          <w:bCs/>
          <w:i w:val="0"/>
          <w:iCs w:val="0"/>
          <w:caps w:val="0"/>
          <w:color w:val="auto"/>
          <w:spacing w:val="0"/>
          <w:sz w:val="24"/>
          <w:szCs w:val="24"/>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Style w:val="14"/>
          <w:rFonts w:hint="eastAsia" w:ascii="宋体" w:hAnsi="宋体" w:eastAsia="宋体" w:cs="宋体"/>
          <w:b/>
          <w:bCs/>
          <w:i w:val="0"/>
          <w:iCs w:val="0"/>
          <w:caps w:val="0"/>
          <w:color w:val="auto"/>
          <w:spacing w:val="0"/>
          <w:sz w:val="24"/>
          <w:szCs w:val="24"/>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Style w:val="14"/>
          <w:rFonts w:hint="eastAsia" w:ascii="宋体" w:hAnsi="宋体" w:eastAsia="宋体" w:cs="宋体"/>
          <w:b/>
          <w:bCs/>
          <w:i w:val="0"/>
          <w:iCs w:val="0"/>
          <w:caps w:val="0"/>
          <w:color w:val="auto"/>
          <w:spacing w:val="0"/>
          <w:sz w:val="24"/>
          <w:szCs w:val="24"/>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Style w:val="14"/>
          <w:rFonts w:hint="eastAsia" w:ascii="宋体" w:hAnsi="宋体" w:eastAsia="宋体" w:cs="宋体"/>
          <w:b/>
          <w:bCs/>
          <w:i w:val="0"/>
          <w:iCs w:val="0"/>
          <w:caps w:val="0"/>
          <w:color w:val="auto"/>
          <w:spacing w:val="0"/>
          <w:sz w:val="24"/>
          <w:szCs w:val="24"/>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Style w:val="14"/>
          <w:rFonts w:hint="eastAsia" w:ascii="宋体" w:hAnsi="宋体" w:eastAsia="宋体" w:cs="宋体"/>
          <w:b/>
          <w:bCs/>
          <w:i w:val="0"/>
          <w:iCs w:val="0"/>
          <w:caps w:val="0"/>
          <w:color w:val="auto"/>
          <w:spacing w:val="0"/>
          <w:sz w:val="24"/>
          <w:szCs w:val="24"/>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Style w:val="14"/>
          <w:rFonts w:hint="eastAsia" w:ascii="宋体" w:hAnsi="宋体" w:eastAsia="宋体" w:cs="宋体"/>
          <w:b/>
          <w:bCs/>
          <w:i w:val="0"/>
          <w:iCs w:val="0"/>
          <w:caps w:val="0"/>
          <w:color w:val="auto"/>
          <w:spacing w:val="0"/>
          <w:sz w:val="24"/>
          <w:szCs w:val="24"/>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Style w:val="14"/>
          <w:rFonts w:hint="eastAsia" w:ascii="宋体" w:hAnsi="宋体" w:eastAsia="宋体" w:cs="宋体"/>
          <w:b/>
          <w:bCs/>
          <w:i w:val="0"/>
          <w:iCs w:val="0"/>
          <w:caps w:val="0"/>
          <w:color w:val="auto"/>
          <w:spacing w:val="0"/>
          <w:sz w:val="24"/>
          <w:szCs w:val="24"/>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Style w:val="14"/>
          <w:rFonts w:hint="eastAsia" w:ascii="宋体" w:hAnsi="宋体" w:eastAsia="宋体" w:cs="宋体"/>
          <w:b/>
          <w:bCs/>
          <w:i w:val="0"/>
          <w:iCs w:val="0"/>
          <w:caps w:val="0"/>
          <w:color w:val="auto"/>
          <w:spacing w:val="0"/>
          <w:sz w:val="24"/>
          <w:szCs w:val="24"/>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Style w:val="14"/>
          <w:rFonts w:hint="eastAsia" w:ascii="宋体" w:hAnsi="宋体" w:eastAsia="宋体" w:cs="宋体"/>
          <w:b/>
          <w:bCs/>
          <w:i w:val="0"/>
          <w:iCs w:val="0"/>
          <w:caps w:val="0"/>
          <w:color w:val="auto"/>
          <w:spacing w:val="0"/>
          <w:sz w:val="24"/>
          <w:szCs w:val="24"/>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Style w:val="14"/>
          <w:rFonts w:hint="eastAsia" w:ascii="宋体" w:hAnsi="宋体" w:eastAsia="宋体" w:cs="宋体"/>
          <w:b/>
          <w:bCs/>
          <w:i w:val="0"/>
          <w:iCs w:val="0"/>
          <w:caps w:val="0"/>
          <w:color w:val="auto"/>
          <w:spacing w:val="0"/>
          <w:sz w:val="24"/>
          <w:szCs w:val="24"/>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Style w:val="14"/>
          <w:rFonts w:hint="eastAsia" w:ascii="宋体" w:hAnsi="宋体" w:eastAsia="宋体" w:cs="宋体"/>
          <w:b/>
          <w:bCs/>
          <w:i w:val="0"/>
          <w:iCs w:val="0"/>
          <w:caps w:val="0"/>
          <w:color w:val="auto"/>
          <w:spacing w:val="0"/>
          <w:sz w:val="24"/>
          <w:szCs w:val="24"/>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Style w:val="14"/>
          <w:rFonts w:hint="eastAsia" w:ascii="宋体" w:hAnsi="宋体" w:eastAsia="宋体" w:cs="宋体"/>
          <w:b/>
          <w:bCs/>
          <w:i w:val="0"/>
          <w:iCs w:val="0"/>
          <w:caps w:val="0"/>
          <w:color w:val="auto"/>
          <w:spacing w:val="0"/>
          <w:sz w:val="24"/>
          <w:szCs w:val="24"/>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Style w:val="14"/>
          <w:rFonts w:hint="eastAsia" w:ascii="宋体" w:hAnsi="宋体" w:eastAsia="宋体" w:cs="宋体"/>
          <w:b/>
          <w:bCs/>
          <w:i w:val="0"/>
          <w:iCs w:val="0"/>
          <w:caps w:val="0"/>
          <w:color w:val="auto"/>
          <w:spacing w:val="0"/>
          <w:sz w:val="24"/>
          <w:szCs w:val="24"/>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Style w:val="14"/>
          <w:rFonts w:hint="eastAsia" w:ascii="宋体" w:hAnsi="宋体" w:eastAsia="宋体" w:cs="宋体"/>
          <w:b/>
          <w:bCs/>
          <w:i w:val="0"/>
          <w:iCs w:val="0"/>
          <w:caps w:val="0"/>
          <w:color w:val="auto"/>
          <w:spacing w:val="0"/>
          <w:sz w:val="24"/>
          <w:szCs w:val="24"/>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Style w:val="14"/>
          <w:rFonts w:hint="eastAsia" w:ascii="宋体" w:hAnsi="宋体" w:eastAsia="宋体" w:cs="宋体"/>
          <w:b/>
          <w:bCs/>
          <w:i w:val="0"/>
          <w:iCs w:val="0"/>
          <w:caps w:val="0"/>
          <w:color w:val="auto"/>
          <w:spacing w:val="0"/>
          <w:sz w:val="24"/>
          <w:szCs w:val="24"/>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Style w:val="14"/>
          <w:rFonts w:hint="eastAsia" w:ascii="宋体" w:hAnsi="宋体" w:eastAsia="宋体" w:cs="宋体"/>
          <w:b/>
          <w:bCs/>
          <w:i w:val="0"/>
          <w:iCs w:val="0"/>
          <w:caps w:val="0"/>
          <w:color w:val="auto"/>
          <w:spacing w:val="0"/>
          <w:sz w:val="24"/>
          <w:szCs w:val="24"/>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Style w:val="14"/>
          <w:rFonts w:hint="eastAsia" w:ascii="宋体" w:hAnsi="宋体" w:eastAsia="宋体" w:cs="宋体"/>
          <w:b/>
          <w:bCs/>
          <w:i w:val="0"/>
          <w:iCs w:val="0"/>
          <w:caps w:val="0"/>
          <w:color w:val="auto"/>
          <w:spacing w:val="0"/>
          <w:sz w:val="24"/>
          <w:szCs w:val="24"/>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Style w:val="14"/>
          <w:rFonts w:hint="eastAsia" w:ascii="宋体" w:hAnsi="宋体" w:eastAsia="宋体" w:cs="宋体"/>
          <w:b/>
          <w:bCs/>
          <w:i w:val="0"/>
          <w:iCs w:val="0"/>
          <w:caps w:val="0"/>
          <w:color w:val="auto"/>
          <w:spacing w:val="0"/>
          <w:sz w:val="24"/>
          <w:szCs w:val="24"/>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Style w:val="14"/>
          <w:rFonts w:hint="eastAsia" w:ascii="宋体" w:hAnsi="宋体" w:eastAsia="宋体" w:cs="宋体"/>
          <w:b/>
          <w:bCs/>
          <w:i w:val="0"/>
          <w:iCs w:val="0"/>
          <w:caps w:val="0"/>
          <w:color w:val="auto"/>
          <w:spacing w:val="0"/>
          <w:sz w:val="24"/>
          <w:szCs w:val="24"/>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Style w:val="14"/>
          <w:rFonts w:hint="eastAsia" w:ascii="宋体" w:hAnsi="宋体" w:eastAsia="宋体" w:cs="宋体"/>
          <w:b/>
          <w:bCs/>
          <w:i w:val="0"/>
          <w:iCs w:val="0"/>
          <w:caps w:val="0"/>
          <w:color w:val="auto"/>
          <w:spacing w:val="0"/>
          <w:sz w:val="24"/>
          <w:szCs w:val="24"/>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Style w:val="14"/>
          <w:rFonts w:hint="eastAsia" w:ascii="宋体" w:hAnsi="宋体" w:eastAsia="宋体" w:cs="宋体"/>
          <w:b/>
          <w:bCs/>
          <w:i w:val="0"/>
          <w:iCs w:val="0"/>
          <w:caps w:val="0"/>
          <w:color w:val="auto"/>
          <w:spacing w:val="0"/>
          <w:sz w:val="24"/>
          <w:szCs w:val="24"/>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Style w:val="14"/>
          <w:rFonts w:hint="eastAsia" w:ascii="宋体" w:hAnsi="宋体" w:eastAsia="宋体" w:cs="宋体"/>
          <w:b/>
          <w:bCs/>
          <w:i w:val="0"/>
          <w:iCs w:val="0"/>
          <w:caps w:val="0"/>
          <w:color w:val="auto"/>
          <w:spacing w:val="0"/>
          <w:sz w:val="24"/>
          <w:szCs w:val="24"/>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Style w:val="14"/>
          <w:rFonts w:hint="eastAsia" w:ascii="宋体" w:hAnsi="宋体" w:eastAsia="宋体" w:cs="宋体"/>
          <w:b/>
          <w:bCs/>
          <w:i w:val="0"/>
          <w:iCs w:val="0"/>
          <w:caps w:val="0"/>
          <w:color w:val="auto"/>
          <w:spacing w:val="0"/>
          <w:sz w:val="24"/>
          <w:szCs w:val="24"/>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Style w:val="14"/>
          <w:rFonts w:hint="eastAsia" w:ascii="宋体" w:hAnsi="宋体" w:eastAsia="宋体" w:cs="宋体"/>
          <w:b/>
          <w:bCs/>
          <w:i w:val="0"/>
          <w:iCs w:val="0"/>
          <w:caps w:val="0"/>
          <w:color w:val="auto"/>
          <w:spacing w:val="0"/>
          <w:sz w:val="24"/>
          <w:szCs w:val="24"/>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Style w:val="14"/>
          <w:rFonts w:hint="eastAsia" w:ascii="宋体" w:hAnsi="宋体" w:eastAsia="宋体" w:cs="宋体"/>
          <w:b/>
          <w:bCs/>
          <w:i w:val="0"/>
          <w:iCs w:val="0"/>
          <w:caps w:val="0"/>
          <w:color w:val="auto"/>
          <w:spacing w:val="0"/>
          <w:sz w:val="24"/>
          <w:szCs w:val="24"/>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Style w:val="14"/>
          <w:rFonts w:hint="eastAsia" w:ascii="宋体" w:hAnsi="宋体" w:eastAsia="宋体" w:cs="宋体"/>
          <w:b/>
          <w:bCs/>
          <w:i w:val="0"/>
          <w:iCs w:val="0"/>
          <w:caps w:val="0"/>
          <w:color w:val="auto"/>
          <w:spacing w:val="0"/>
          <w:sz w:val="24"/>
          <w:szCs w:val="24"/>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val="0"/>
          <w:color w:val="auto"/>
          <w:sz w:val="24"/>
          <w:szCs w:val="24"/>
        </w:rPr>
      </w:pPr>
      <w:r>
        <w:rPr>
          <w:rStyle w:val="14"/>
          <w:rFonts w:hint="eastAsia" w:ascii="宋体" w:hAnsi="宋体" w:eastAsia="宋体" w:cs="宋体"/>
          <w:b/>
          <w:bCs/>
          <w:i w:val="0"/>
          <w:iCs w:val="0"/>
          <w:caps w:val="0"/>
          <w:color w:val="auto"/>
          <w:spacing w:val="0"/>
          <w:sz w:val="24"/>
          <w:szCs w:val="24"/>
          <w:shd w:val="clear" w:fill="FFFFFF"/>
        </w:rPr>
        <w:t>二-11分包意向协议（若有）</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甲方（总包方）：</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（即本项目的投标人）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乙方（分包方）：</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u w:val="single"/>
          <w:shd w:val="clear" w:fill="FFFFFF"/>
          <w:lang w:val="en-US" w:eastAsia="zh-CN"/>
        </w:rPr>
        <w:t xml:space="preserve"> </w:t>
      </w:r>
      <w:r>
        <w:rPr>
          <w:rFonts w:hint="eastAsia" w:ascii="宋体" w:hAnsi="宋体" w:eastAsia="宋体" w:cs="宋体"/>
          <w:i w:val="0"/>
          <w:iCs w:val="0"/>
          <w:caps w:val="0"/>
          <w:color w:val="auto"/>
          <w:spacing w:val="0"/>
          <w:sz w:val="24"/>
          <w:szCs w:val="24"/>
          <w:u w:val="single"/>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35"/>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兹有甲方参加</w:t>
      </w:r>
      <w:r>
        <w:rPr>
          <w:rFonts w:hint="eastAsia" w:ascii="宋体" w:hAnsi="宋体" w:eastAsia="宋体" w:cs="宋体"/>
          <w:i w:val="0"/>
          <w:iCs w:val="0"/>
          <w:caps w:val="0"/>
          <w:color w:val="auto"/>
          <w:spacing w:val="0"/>
          <w:sz w:val="24"/>
          <w:szCs w:val="24"/>
          <w:u w:val="single"/>
          <w:shd w:val="clear" w:fill="FFFFFF"/>
        </w:rPr>
        <w:t>（填写“项目名称”） </w:t>
      </w:r>
      <w:r>
        <w:rPr>
          <w:rFonts w:hint="eastAsia" w:ascii="宋体" w:hAnsi="宋体" w:eastAsia="宋体" w:cs="宋体"/>
          <w:i w:val="0"/>
          <w:iCs w:val="0"/>
          <w:caps w:val="0"/>
          <w:color w:val="auto"/>
          <w:spacing w:val="0"/>
          <w:sz w:val="24"/>
          <w:szCs w:val="24"/>
          <w:shd w:val="clear" w:fill="FFFFFF"/>
        </w:rPr>
        <w:t>项目（项目编号：</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）的政府采购活动。甲方期望将采购项目的部分采购标的分包给乙方完成，而乙方保证能够向甲方提供本协议项下的采购标的，甲、乙双方就合同分包的有关事宜达成下列协议：</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宋体" w:hAnsi="宋体" w:eastAsia="宋体" w:cs="宋体"/>
          <w:color w:val="auto"/>
          <w:sz w:val="24"/>
          <w:szCs w:val="24"/>
        </w:rPr>
      </w:pPr>
      <w:r>
        <w:rPr>
          <w:rStyle w:val="14"/>
          <w:rFonts w:hint="eastAsia" w:ascii="宋体" w:hAnsi="宋体" w:eastAsia="宋体" w:cs="宋体"/>
          <w:b/>
          <w:bCs/>
          <w:i w:val="0"/>
          <w:iCs w:val="0"/>
          <w:caps w:val="0"/>
          <w:color w:val="auto"/>
          <w:spacing w:val="0"/>
          <w:sz w:val="24"/>
          <w:szCs w:val="24"/>
          <w:shd w:val="clear" w:fill="FFFFFF"/>
        </w:rPr>
        <w:t>一、分包标的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u w:val="single"/>
          <w:shd w:val="clear" w:fill="FFFFFF"/>
        </w:rPr>
        <w:t>（根据双方的意向填写，可以是表格或文字描述）</w:t>
      </w:r>
      <w:r>
        <w:rPr>
          <w:rFonts w:hint="eastAsia" w:ascii="宋体" w:hAnsi="宋体" w:eastAsia="宋体" w:cs="宋体"/>
          <w:i w:val="0"/>
          <w:iCs w:val="0"/>
          <w:caps w:val="0"/>
          <w:color w:val="auto"/>
          <w:spacing w:val="0"/>
          <w:sz w:val="24"/>
          <w:szCs w:val="24"/>
          <w:shd w:val="clear" w:fill="FFFFFF"/>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宋体" w:hAnsi="宋体" w:eastAsia="宋体" w:cs="宋体"/>
          <w:color w:val="auto"/>
          <w:sz w:val="24"/>
          <w:szCs w:val="24"/>
        </w:rPr>
      </w:pPr>
      <w:r>
        <w:rPr>
          <w:rStyle w:val="14"/>
          <w:rFonts w:hint="eastAsia" w:ascii="宋体" w:hAnsi="宋体" w:eastAsia="宋体" w:cs="宋体"/>
          <w:b/>
          <w:bCs/>
          <w:i w:val="0"/>
          <w:iCs w:val="0"/>
          <w:caps w:val="0"/>
          <w:color w:val="auto"/>
          <w:spacing w:val="0"/>
          <w:sz w:val="24"/>
          <w:szCs w:val="24"/>
          <w:shd w:val="clear" w:fill="FFFFFF"/>
        </w:rPr>
        <w:t>二、分包合同金额占比</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分包合同价占投标总价的比例：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宋体" w:hAnsi="宋体" w:eastAsia="宋体" w:cs="宋体"/>
          <w:color w:val="auto"/>
          <w:sz w:val="24"/>
          <w:szCs w:val="24"/>
        </w:rPr>
      </w:pPr>
      <w:r>
        <w:rPr>
          <w:rStyle w:val="14"/>
          <w:rFonts w:hint="eastAsia" w:ascii="宋体" w:hAnsi="宋体" w:eastAsia="宋体" w:cs="宋体"/>
          <w:b/>
          <w:bCs/>
          <w:i w:val="0"/>
          <w:iCs w:val="0"/>
          <w:caps w:val="0"/>
          <w:color w:val="auto"/>
          <w:spacing w:val="0"/>
          <w:sz w:val="24"/>
          <w:szCs w:val="24"/>
          <w:shd w:val="clear" w:fill="FFFFFF"/>
        </w:rPr>
        <w:t>三、其他条款</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tbl>
      <w:tblPr>
        <w:tblStyle w:val="11"/>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4912"/>
        <w:gridCol w:w="4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4912"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w:t>
            </w:r>
          </w:p>
        </w:tc>
        <w:tc>
          <w:tcPr>
            <w:tcW w:w="4635"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4912"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住所：</w:t>
            </w:r>
          </w:p>
        </w:tc>
        <w:tc>
          <w:tcPr>
            <w:tcW w:w="4635"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住所：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4912"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w:t>
            </w:r>
            <w:r>
              <w:rPr>
                <w:rFonts w:hint="eastAsia" w:ascii="宋体" w:hAnsi="宋体" w:eastAsia="宋体" w:cs="宋体"/>
                <w:color w:val="auto"/>
                <w:spacing w:val="-15"/>
                <w:sz w:val="24"/>
                <w:szCs w:val="24"/>
              </w:rPr>
              <w:t>位负责人或委托代理人：</w:t>
            </w:r>
          </w:p>
        </w:tc>
        <w:tc>
          <w:tcPr>
            <w:tcW w:w="4635"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w:t>
            </w:r>
            <w:r>
              <w:rPr>
                <w:rFonts w:hint="eastAsia" w:ascii="宋体" w:hAnsi="宋体" w:eastAsia="宋体" w:cs="宋体"/>
                <w:color w:val="auto"/>
                <w:spacing w:val="-15"/>
                <w:sz w:val="24"/>
                <w:szCs w:val="24"/>
              </w:rPr>
              <w:t>位负责人或委托代理人：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4912"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联系方法：</w:t>
            </w:r>
          </w:p>
        </w:tc>
        <w:tc>
          <w:tcPr>
            <w:tcW w:w="4635"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4912"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4635"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4912"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c>
          <w:tcPr>
            <w:tcW w:w="4635"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547" w:type="dxa"/>
            <w:gridSpan w:val="2"/>
            <w:shd w:val="clear" w:color="auto" w:fill="auto"/>
            <w:tcMar>
              <w:top w:w="0" w:type="dxa"/>
              <w:left w:w="105" w:type="dxa"/>
              <w:bottom w:w="0" w:type="dxa"/>
              <w:right w:w="105" w:type="dxa"/>
            </w:tcMar>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签订地点：</w:t>
            </w:r>
            <w:r>
              <w:rPr>
                <w:rFonts w:hint="eastAsia" w:ascii="宋体" w:hAnsi="宋体" w:eastAsia="宋体" w:cs="宋体"/>
                <w:color w:val="auto"/>
                <w:sz w:val="24"/>
                <w:szCs w:val="24"/>
                <w:u w:val="single"/>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签订日期：    年   月   日</w:t>
            </w:r>
          </w:p>
        </w:tc>
      </w:tr>
    </w:tbl>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Style w:val="14"/>
          <w:rFonts w:hint="eastAsia" w:ascii="宋体" w:hAnsi="宋体" w:eastAsia="宋体" w:cs="宋体"/>
          <w:b/>
          <w:bCs/>
          <w:i w:val="0"/>
          <w:iCs w:val="0"/>
          <w:caps w:val="0"/>
          <w:color w:val="auto"/>
          <w:spacing w:val="0"/>
          <w:sz w:val="24"/>
          <w:szCs w:val="24"/>
          <w:shd w:val="clear" w:fill="FFFFFF"/>
        </w:rPr>
        <w:t>※注意：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35"/>
        <w:jc w:val="left"/>
        <w:textAlignment w:val="auto"/>
        <w:rPr>
          <w:rFonts w:hint="eastAsia" w:ascii="宋体" w:hAnsi="宋体" w:eastAsia="宋体" w:cs="宋体"/>
          <w:color w:val="auto"/>
          <w:sz w:val="24"/>
          <w:szCs w:val="24"/>
        </w:rPr>
      </w:pPr>
      <w:r>
        <w:rPr>
          <w:rStyle w:val="14"/>
          <w:rFonts w:hint="eastAsia" w:ascii="宋体" w:hAnsi="宋体" w:eastAsia="宋体" w:cs="宋体"/>
          <w:b/>
          <w:bCs/>
          <w:i w:val="0"/>
          <w:iCs w:val="0"/>
          <w:caps w:val="0"/>
          <w:color w:val="auto"/>
          <w:spacing w:val="0"/>
          <w:sz w:val="24"/>
          <w:szCs w:val="24"/>
          <w:shd w:val="clear" w:fill="FFFFFF"/>
        </w:rPr>
        <w:t>1.招标文件接受合同分包且投标人拟将合同分包的，应提供本协议；否则无须提供。</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35"/>
        <w:jc w:val="left"/>
        <w:textAlignment w:val="auto"/>
        <w:rPr>
          <w:rFonts w:hint="eastAsia" w:ascii="宋体" w:hAnsi="宋体" w:eastAsia="宋体" w:cs="宋体"/>
          <w:color w:val="auto"/>
          <w:sz w:val="24"/>
          <w:szCs w:val="24"/>
        </w:rPr>
      </w:pPr>
      <w:r>
        <w:rPr>
          <w:rStyle w:val="14"/>
          <w:rFonts w:hint="eastAsia" w:ascii="宋体" w:hAnsi="宋体" w:eastAsia="宋体" w:cs="宋体"/>
          <w:b/>
          <w:bCs/>
          <w:i w:val="0"/>
          <w:iCs w:val="0"/>
          <w:caps w:val="0"/>
          <w:color w:val="auto"/>
          <w:spacing w:val="0"/>
          <w:sz w:val="24"/>
          <w:szCs w:val="24"/>
          <w:shd w:val="clear" w:fill="FFFFFF"/>
        </w:rPr>
        <w:t>2.本协议由委托代理人签字或盖章的，应按照本章载明的格式提供“单位授权书”。</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35"/>
        <w:jc w:val="left"/>
        <w:textAlignment w:val="auto"/>
        <w:rPr>
          <w:rStyle w:val="14"/>
          <w:rFonts w:hint="eastAsia" w:ascii="宋体" w:hAnsi="宋体" w:eastAsia="宋体" w:cs="宋体"/>
          <w:b/>
          <w:bCs/>
          <w:i w:val="0"/>
          <w:iCs w:val="0"/>
          <w:caps w:val="0"/>
          <w:color w:val="auto"/>
          <w:spacing w:val="0"/>
          <w:sz w:val="24"/>
          <w:szCs w:val="24"/>
          <w:shd w:val="clear" w:fill="FFFFFF"/>
        </w:rPr>
      </w:pPr>
      <w:r>
        <w:rPr>
          <w:rStyle w:val="14"/>
          <w:rFonts w:hint="eastAsia" w:ascii="宋体" w:hAnsi="宋体" w:eastAsia="宋体" w:cs="宋体"/>
          <w:b/>
          <w:bCs/>
          <w:i w:val="0"/>
          <w:iCs w:val="0"/>
          <w:caps w:val="0"/>
          <w:color w:val="auto"/>
          <w:spacing w:val="0"/>
          <w:sz w:val="24"/>
          <w:szCs w:val="24"/>
          <w:shd w:val="clear" w:fill="FFFFFF"/>
        </w:rPr>
        <w:t>3.在以合同分包形式落实中小企业预留份额项目中，投标人除了要提供《中小企业声明函》，还需提供本协议。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35"/>
        <w:jc w:val="left"/>
        <w:textAlignment w:val="auto"/>
        <w:rPr>
          <w:rStyle w:val="14"/>
          <w:rFonts w:hint="eastAsia" w:ascii="宋体" w:hAnsi="宋体" w:eastAsia="宋体" w:cs="宋体"/>
          <w:b/>
          <w:bCs/>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Style w:val="14"/>
          <w:rFonts w:hint="eastAsia" w:ascii="宋体" w:hAnsi="宋体" w:eastAsia="宋体" w:cs="宋体"/>
          <w:b/>
          <w:bCs/>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Style w:val="14"/>
          <w:rFonts w:hint="eastAsia" w:ascii="宋体" w:hAnsi="宋体" w:eastAsia="宋体" w:cs="宋体"/>
          <w:b/>
          <w:bCs/>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Style w:val="14"/>
          <w:rFonts w:hint="eastAsia" w:ascii="宋体" w:hAnsi="宋体" w:eastAsia="宋体" w:cs="宋体"/>
          <w:b/>
          <w:bCs/>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Style w:val="14"/>
          <w:rFonts w:hint="eastAsia" w:ascii="宋体" w:hAnsi="宋体" w:eastAsia="宋体" w:cs="宋体"/>
          <w:b/>
          <w:bCs/>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Style w:val="14"/>
          <w:rFonts w:hint="eastAsia" w:ascii="宋体" w:hAnsi="宋体" w:eastAsia="宋体" w:cs="宋体"/>
          <w:b/>
          <w:bCs/>
          <w:i w:val="0"/>
          <w:iCs w:val="0"/>
          <w:caps w:val="0"/>
          <w:color w:val="auto"/>
          <w:spacing w:val="0"/>
          <w:sz w:val="24"/>
          <w:szCs w:val="24"/>
          <w:shd w:val="clear" w:fill="FFFFFF"/>
        </w:rPr>
        <w:t>二-12其他资格证明文件（若有）</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二</w:t>
      </w:r>
      <w:r>
        <w:rPr>
          <w:rStyle w:val="14"/>
          <w:rFonts w:hint="eastAsia" w:ascii="宋体" w:hAnsi="宋体" w:eastAsia="宋体" w:cs="宋体"/>
          <w:b/>
          <w:bCs/>
          <w:i w:val="0"/>
          <w:iCs w:val="0"/>
          <w:caps w:val="0"/>
          <w:color w:val="auto"/>
          <w:spacing w:val="0"/>
          <w:sz w:val="24"/>
          <w:szCs w:val="24"/>
          <w:shd w:val="clear" w:fill="FFFFFF"/>
        </w:rPr>
        <w:t>-12-①具备履行合同所必需设备和专业技术能力专项证明材料（若有）</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致：</w:t>
      </w:r>
      <w:r>
        <w:rPr>
          <w:rFonts w:hint="eastAsia" w:ascii="宋体" w:hAnsi="宋体" w:eastAsia="宋体" w:cs="宋体"/>
          <w:i w:val="0"/>
          <w:iCs w:val="0"/>
          <w:caps w:val="0"/>
          <w:color w:val="auto"/>
          <w:spacing w:val="0"/>
          <w:sz w:val="24"/>
          <w:szCs w:val="24"/>
          <w:u w:val="single"/>
          <w:shd w:val="clear" w:fill="FFFFFF"/>
        </w:rPr>
        <w:t>          （采购人或采购代理机构）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现附上我方具备履行合同所必需的设备和专业技术能力的专项证明材料复印件（具体附后），上述证明材料真实有效，否则我方负全部责任。</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※注意：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1、招标文件要求投标人提供“具备履行合同所必需的设备和专业技术能力专项证明材料”的，投标人应按照招标文件规定在此项下提供相应证明材料复印件。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2、投标人提供的相应证明材料复印件均应符合：内容完整、清晰、整洁，并由投标人加盖其单位公章。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投标人：</w:t>
      </w:r>
      <w:r>
        <w:rPr>
          <w:rFonts w:hint="eastAsia" w:ascii="宋体" w:hAnsi="宋体" w:eastAsia="宋体" w:cs="宋体"/>
          <w:i w:val="0"/>
          <w:iCs w:val="0"/>
          <w:caps w:val="0"/>
          <w:color w:val="auto"/>
          <w:spacing w:val="0"/>
          <w:sz w:val="24"/>
          <w:szCs w:val="24"/>
          <w:u w:val="single"/>
          <w:shd w:val="clear" w:fill="FFFFFF"/>
        </w:rPr>
        <w:t>（全称并加盖单位公章）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日期：</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年</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br w:type="textWrapping"/>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i w:val="0"/>
          <w:iCs w:val="0"/>
          <w:caps w:val="0"/>
          <w:color w:val="auto"/>
          <w:spacing w:val="0"/>
          <w:sz w:val="24"/>
          <w:szCs w:val="24"/>
          <w:shd w:val="clear" w:fill="FFFFFF"/>
        </w:rPr>
      </w:pPr>
      <w:r>
        <w:rPr>
          <w:rStyle w:val="14"/>
          <w:rFonts w:hint="eastAsia" w:ascii="宋体" w:hAnsi="宋体" w:eastAsia="宋体" w:cs="宋体"/>
          <w:b/>
          <w:bCs/>
          <w:i w:val="0"/>
          <w:iCs w:val="0"/>
          <w:caps w:val="0"/>
          <w:color w:val="auto"/>
          <w:spacing w:val="0"/>
          <w:sz w:val="24"/>
          <w:szCs w:val="24"/>
          <w:shd w:val="clear" w:fill="FFFFFF"/>
        </w:rPr>
        <w:t>二-12-②招标文件规定的其他资格证明文件（若有）</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编制说明</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除招标文件另有规定外，招标文件要求提交的除前述资格证明文件外的其他资格证明文件（若有）加盖投标人的单位公章后应在此项下提交。</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三</w:t>
      </w:r>
      <w:r>
        <w:rPr>
          <w:rStyle w:val="14"/>
          <w:rFonts w:hint="eastAsia" w:ascii="宋体" w:hAnsi="宋体" w:eastAsia="宋体" w:cs="宋体"/>
          <w:b/>
          <w:bCs/>
          <w:i w:val="0"/>
          <w:iCs w:val="0"/>
          <w:caps w:val="0"/>
          <w:color w:val="auto"/>
          <w:spacing w:val="0"/>
          <w:sz w:val="24"/>
          <w:szCs w:val="24"/>
          <w:shd w:val="clear" w:fill="FFFFFF"/>
        </w:rPr>
        <w:t>、投标保证金</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编制说明</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1、在此项下提交的</w:t>
      </w:r>
      <w:r>
        <w:rPr>
          <w:rStyle w:val="14"/>
          <w:rFonts w:hint="eastAsia" w:ascii="宋体" w:hAnsi="宋体" w:eastAsia="宋体" w:cs="宋体"/>
          <w:b/>
          <w:bCs/>
          <w:i w:val="0"/>
          <w:iCs w:val="0"/>
          <w:caps w:val="0"/>
          <w:color w:val="auto"/>
          <w:spacing w:val="0"/>
          <w:sz w:val="24"/>
          <w:szCs w:val="24"/>
          <w:shd w:val="clear" w:fill="FFFFFF"/>
        </w:rPr>
        <w:t>“投标保证金”</w:t>
      </w:r>
      <w:r>
        <w:rPr>
          <w:rFonts w:hint="eastAsia" w:ascii="宋体" w:hAnsi="宋体" w:eastAsia="宋体" w:cs="宋体"/>
          <w:i w:val="0"/>
          <w:iCs w:val="0"/>
          <w:caps w:val="0"/>
          <w:color w:val="auto"/>
          <w:spacing w:val="0"/>
          <w:sz w:val="24"/>
          <w:szCs w:val="24"/>
          <w:shd w:val="clear" w:fill="FFFFFF"/>
        </w:rPr>
        <w:t>材料可使用转账凭证复印件或从福建省政府采购网上公开信息系统中下载的有关原始页面的打印件。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2、投标保证金是否已提交的认定按照招标文件第三章规定执行。</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32"/>
          <w:szCs w:val="32"/>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32"/>
          <w:szCs w:val="32"/>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32"/>
          <w:szCs w:val="32"/>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32"/>
          <w:szCs w:val="32"/>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32"/>
          <w:szCs w:val="32"/>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32"/>
          <w:szCs w:val="32"/>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32"/>
          <w:szCs w:val="32"/>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32"/>
          <w:szCs w:val="32"/>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32"/>
          <w:szCs w:val="32"/>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32"/>
          <w:szCs w:val="32"/>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32"/>
          <w:szCs w:val="32"/>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32"/>
          <w:szCs w:val="32"/>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32"/>
          <w:szCs w:val="32"/>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32"/>
          <w:szCs w:val="32"/>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32"/>
          <w:szCs w:val="32"/>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32"/>
          <w:szCs w:val="32"/>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32"/>
          <w:szCs w:val="32"/>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32"/>
          <w:szCs w:val="32"/>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32"/>
          <w:szCs w:val="32"/>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32"/>
          <w:szCs w:val="32"/>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32"/>
          <w:szCs w:val="32"/>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32"/>
          <w:szCs w:val="32"/>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Style w:val="14"/>
          <w:rFonts w:hint="eastAsia" w:ascii="宋体" w:hAnsi="宋体" w:eastAsia="宋体" w:cs="宋体"/>
          <w:b/>
          <w:bCs/>
          <w:i w:val="0"/>
          <w:iCs w:val="0"/>
          <w:caps w:val="0"/>
          <w:color w:val="auto"/>
          <w:spacing w:val="0"/>
          <w:sz w:val="32"/>
          <w:szCs w:val="32"/>
          <w:shd w:val="clear" w:fill="FFFFFF"/>
        </w:rPr>
        <w:t>封面格式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72"/>
          <w:szCs w:val="72"/>
        </w:rPr>
      </w:pPr>
      <w:r>
        <w:rPr>
          <w:rStyle w:val="14"/>
          <w:rFonts w:hint="eastAsia" w:ascii="宋体" w:hAnsi="宋体" w:eastAsia="宋体" w:cs="宋体"/>
          <w:b/>
          <w:bCs/>
          <w:i w:val="0"/>
          <w:iCs w:val="0"/>
          <w:caps w:val="0"/>
          <w:color w:val="auto"/>
          <w:spacing w:val="0"/>
          <w:sz w:val="72"/>
          <w:szCs w:val="72"/>
          <w:shd w:val="clear" w:fill="FFFFFF"/>
        </w:rPr>
        <w:t>福建省政府采购投标文件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Style w:val="14"/>
          <w:rFonts w:hint="eastAsia" w:ascii="宋体" w:hAnsi="宋体" w:eastAsia="宋体" w:cs="宋体"/>
          <w:b/>
          <w:bCs/>
          <w:i w:val="0"/>
          <w:iCs w:val="0"/>
          <w:caps w:val="0"/>
          <w:color w:val="auto"/>
          <w:spacing w:val="0"/>
          <w:sz w:val="72"/>
          <w:szCs w:val="72"/>
          <w:shd w:val="clear" w:fill="FFFFFF"/>
        </w:rPr>
      </w:pPr>
      <w:r>
        <w:rPr>
          <w:rStyle w:val="14"/>
          <w:rFonts w:hint="eastAsia" w:ascii="宋体" w:hAnsi="宋体" w:eastAsia="宋体" w:cs="宋体"/>
          <w:b/>
          <w:bCs/>
          <w:i w:val="0"/>
          <w:iCs w:val="0"/>
          <w:caps w:val="0"/>
          <w:color w:val="auto"/>
          <w:spacing w:val="0"/>
          <w:sz w:val="72"/>
          <w:szCs w:val="72"/>
          <w:shd w:val="clear" w:fill="FFFFFF"/>
        </w:rPr>
        <w:t>（报价部分）</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Style w:val="14"/>
          <w:rFonts w:hint="eastAsia" w:ascii="宋体" w:hAnsi="宋体" w:eastAsia="宋体" w:cs="宋体"/>
          <w:b/>
          <w:bCs/>
          <w:i w:val="0"/>
          <w:iCs w:val="0"/>
          <w:caps w:val="0"/>
          <w:color w:val="auto"/>
          <w:spacing w:val="0"/>
          <w:sz w:val="72"/>
          <w:szCs w:val="72"/>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Style w:val="14"/>
          <w:rFonts w:hint="eastAsia" w:ascii="宋体" w:hAnsi="宋体" w:eastAsia="宋体" w:cs="宋体"/>
          <w:b/>
          <w:bCs/>
          <w:i w:val="0"/>
          <w:iCs w:val="0"/>
          <w:caps w:val="0"/>
          <w:color w:val="auto"/>
          <w:spacing w:val="0"/>
          <w:sz w:val="72"/>
          <w:szCs w:val="72"/>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32"/>
          <w:szCs w:val="32"/>
        </w:rPr>
      </w:pPr>
      <w:r>
        <w:rPr>
          <w:rStyle w:val="14"/>
          <w:rFonts w:hint="eastAsia" w:ascii="宋体" w:hAnsi="宋体" w:eastAsia="宋体" w:cs="宋体"/>
          <w:b/>
          <w:bCs/>
          <w:i w:val="0"/>
          <w:iCs w:val="0"/>
          <w:caps w:val="0"/>
          <w:color w:val="auto"/>
          <w:spacing w:val="0"/>
          <w:sz w:val="32"/>
          <w:szCs w:val="32"/>
          <w:u w:val="single"/>
          <w:shd w:val="clear" w:fill="FFFFFF"/>
        </w:rPr>
        <w:t>（填写正本或副本）</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宋体" w:hAnsi="宋体" w:eastAsia="宋体" w:cs="宋体"/>
          <w:color w:val="auto"/>
          <w:sz w:val="32"/>
          <w:szCs w:val="32"/>
        </w:rPr>
      </w:pPr>
      <w:r>
        <w:rPr>
          <w:rStyle w:val="14"/>
          <w:rFonts w:hint="eastAsia" w:ascii="宋体" w:hAnsi="宋体" w:eastAsia="宋体" w:cs="宋体"/>
          <w:b/>
          <w:bCs/>
          <w:i w:val="0"/>
          <w:iCs w:val="0"/>
          <w:caps w:val="0"/>
          <w:color w:val="auto"/>
          <w:spacing w:val="0"/>
          <w:sz w:val="32"/>
          <w:szCs w:val="32"/>
          <w:shd w:val="clear" w:fill="FFFFFF"/>
        </w:rPr>
        <w:t>项目名称：</w:t>
      </w:r>
      <w:r>
        <w:rPr>
          <w:rStyle w:val="14"/>
          <w:rFonts w:hint="eastAsia" w:ascii="宋体" w:hAnsi="宋体" w:eastAsia="宋体" w:cs="宋体"/>
          <w:b/>
          <w:bCs/>
          <w:i w:val="0"/>
          <w:iCs w:val="0"/>
          <w:caps w:val="0"/>
          <w:color w:val="auto"/>
          <w:spacing w:val="0"/>
          <w:sz w:val="32"/>
          <w:szCs w:val="32"/>
          <w:u w:val="single"/>
          <w:shd w:val="clear" w:fill="FFFFFF"/>
        </w:rPr>
        <w:t>（由投标人填写）</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宋体" w:hAnsi="宋体" w:eastAsia="宋体" w:cs="宋体"/>
          <w:color w:val="auto"/>
          <w:sz w:val="32"/>
          <w:szCs w:val="32"/>
        </w:rPr>
      </w:pPr>
      <w:r>
        <w:rPr>
          <w:rStyle w:val="14"/>
          <w:rFonts w:hint="eastAsia" w:ascii="宋体" w:hAnsi="宋体" w:eastAsia="宋体" w:cs="宋体"/>
          <w:b/>
          <w:bCs/>
          <w:i w:val="0"/>
          <w:iCs w:val="0"/>
          <w:caps w:val="0"/>
          <w:color w:val="auto"/>
          <w:spacing w:val="0"/>
          <w:sz w:val="32"/>
          <w:szCs w:val="32"/>
          <w:shd w:val="clear" w:fill="FFFFFF"/>
        </w:rPr>
        <w:t>备案编号：</w:t>
      </w:r>
      <w:r>
        <w:rPr>
          <w:rStyle w:val="14"/>
          <w:rFonts w:hint="eastAsia" w:ascii="宋体" w:hAnsi="宋体" w:eastAsia="宋体" w:cs="宋体"/>
          <w:b/>
          <w:bCs/>
          <w:i w:val="0"/>
          <w:iCs w:val="0"/>
          <w:caps w:val="0"/>
          <w:color w:val="auto"/>
          <w:spacing w:val="0"/>
          <w:sz w:val="32"/>
          <w:szCs w:val="32"/>
          <w:u w:val="single"/>
          <w:shd w:val="clear" w:fill="FFFFFF"/>
        </w:rPr>
        <w:t>（由投标人填写）</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宋体" w:hAnsi="宋体" w:eastAsia="宋体" w:cs="宋体"/>
          <w:color w:val="auto"/>
          <w:sz w:val="32"/>
          <w:szCs w:val="32"/>
        </w:rPr>
      </w:pPr>
      <w:r>
        <w:rPr>
          <w:rStyle w:val="14"/>
          <w:rFonts w:hint="eastAsia" w:ascii="宋体" w:hAnsi="宋体" w:eastAsia="宋体" w:cs="宋体"/>
          <w:b/>
          <w:bCs/>
          <w:i w:val="0"/>
          <w:iCs w:val="0"/>
          <w:caps w:val="0"/>
          <w:color w:val="auto"/>
          <w:spacing w:val="0"/>
          <w:sz w:val="32"/>
          <w:szCs w:val="32"/>
          <w:shd w:val="clear" w:fill="FFFFFF"/>
        </w:rPr>
        <w:t>项目编号：</w:t>
      </w:r>
      <w:r>
        <w:rPr>
          <w:rStyle w:val="14"/>
          <w:rFonts w:hint="eastAsia" w:ascii="宋体" w:hAnsi="宋体" w:eastAsia="宋体" w:cs="宋体"/>
          <w:b/>
          <w:bCs/>
          <w:i w:val="0"/>
          <w:iCs w:val="0"/>
          <w:caps w:val="0"/>
          <w:color w:val="auto"/>
          <w:spacing w:val="0"/>
          <w:sz w:val="32"/>
          <w:szCs w:val="32"/>
          <w:u w:val="single"/>
          <w:shd w:val="clear" w:fill="FFFFFF"/>
        </w:rPr>
        <w:t>（由投标人填写）</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宋体" w:hAnsi="宋体" w:eastAsia="宋体" w:cs="宋体"/>
          <w:color w:val="auto"/>
          <w:sz w:val="32"/>
          <w:szCs w:val="32"/>
        </w:rPr>
      </w:pPr>
      <w:r>
        <w:rPr>
          <w:rStyle w:val="14"/>
          <w:rFonts w:hint="eastAsia" w:ascii="宋体" w:hAnsi="宋体" w:eastAsia="宋体" w:cs="宋体"/>
          <w:b/>
          <w:bCs/>
          <w:i w:val="0"/>
          <w:iCs w:val="0"/>
          <w:caps w:val="0"/>
          <w:color w:val="auto"/>
          <w:spacing w:val="0"/>
          <w:sz w:val="32"/>
          <w:szCs w:val="32"/>
          <w:shd w:val="clear" w:fill="FFFFFF"/>
        </w:rPr>
        <w:t>所投采购包：</w:t>
      </w:r>
      <w:r>
        <w:rPr>
          <w:rStyle w:val="14"/>
          <w:rFonts w:hint="eastAsia" w:ascii="宋体" w:hAnsi="宋体" w:eastAsia="宋体" w:cs="宋体"/>
          <w:b/>
          <w:bCs/>
          <w:i w:val="0"/>
          <w:iCs w:val="0"/>
          <w:caps w:val="0"/>
          <w:color w:val="auto"/>
          <w:spacing w:val="0"/>
          <w:sz w:val="32"/>
          <w:szCs w:val="32"/>
          <w:u w:val="single"/>
          <w:shd w:val="clear" w:fill="FFFFFF"/>
        </w:rPr>
        <w:t>（由投标人填写）</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32"/>
          <w:szCs w:val="32"/>
        </w:rPr>
      </w:pPr>
      <w:r>
        <w:rPr>
          <w:rStyle w:val="14"/>
          <w:rFonts w:hint="eastAsia" w:ascii="宋体" w:hAnsi="宋体" w:eastAsia="宋体" w:cs="宋体"/>
          <w:b/>
          <w:bCs/>
          <w:i w:val="0"/>
          <w:iCs w:val="0"/>
          <w:caps w:val="0"/>
          <w:color w:val="auto"/>
          <w:spacing w:val="0"/>
          <w:sz w:val="32"/>
          <w:szCs w:val="32"/>
          <w:shd w:val="clear" w:fill="FFFFFF"/>
        </w:rPr>
        <w:t>投标人：</w:t>
      </w:r>
      <w:r>
        <w:rPr>
          <w:rStyle w:val="14"/>
          <w:rFonts w:hint="eastAsia" w:ascii="宋体" w:hAnsi="宋体" w:eastAsia="宋体" w:cs="宋体"/>
          <w:b/>
          <w:bCs/>
          <w:i w:val="0"/>
          <w:iCs w:val="0"/>
          <w:caps w:val="0"/>
          <w:color w:val="auto"/>
          <w:spacing w:val="0"/>
          <w:sz w:val="32"/>
          <w:szCs w:val="32"/>
          <w:u w:val="single"/>
          <w:shd w:val="clear" w:fill="FFFFFF"/>
        </w:rPr>
        <w:t>（填写“全称”）</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32"/>
          <w:szCs w:val="32"/>
        </w:rPr>
      </w:pPr>
      <w:r>
        <w:rPr>
          <w:rStyle w:val="14"/>
          <w:rFonts w:hint="eastAsia" w:ascii="宋体" w:hAnsi="宋体" w:eastAsia="宋体" w:cs="宋体"/>
          <w:b/>
          <w:bCs/>
          <w:i w:val="0"/>
          <w:iCs w:val="0"/>
          <w:caps w:val="0"/>
          <w:color w:val="auto"/>
          <w:spacing w:val="0"/>
          <w:sz w:val="32"/>
          <w:szCs w:val="32"/>
          <w:u w:val="single"/>
          <w:shd w:val="clear" w:fill="FFFFFF"/>
        </w:rPr>
        <w:t>（由投标人填写）</w:t>
      </w:r>
      <w:r>
        <w:rPr>
          <w:rStyle w:val="14"/>
          <w:rFonts w:hint="eastAsia" w:ascii="宋体" w:hAnsi="宋体" w:eastAsia="宋体" w:cs="宋体"/>
          <w:b/>
          <w:bCs/>
          <w:i w:val="0"/>
          <w:iCs w:val="0"/>
          <w:caps w:val="0"/>
          <w:color w:val="auto"/>
          <w:spacing w:val="0"/>
          <w:sz w:val="32"/>
          <w:szCs w:val="32"/>
          <w:shd w:val="clear" w:fill="FFFFFF"/>
        </w:rPr>
        <w:t>年</w:t>
      </w:r>
      <w:r>
        <w:rPr>
          <w:rStyle w:val="14"/>
          <w:rFonts w:hint="eastAsia" w:ascii="宋体" w:hAnsi="宋体" w:eastAsia="宋体" w:cs="宋体"/>
          <w:b/>
          <w:bCs/>
          <w:i w:val="0"/>
          <w:iCs w:val="0"/>
          <w:caps w:val="0"/>
          <w:color w:val="auto"/>
          <w:spacing w:val="0"/>
          <w:sz w:val="32"/>
          <w:szCs w:val="32"/>
          <w:u w:val="single"/>
          <w:shd w:val="clear" w:fill="FFFFFF"/>
        </w:rPr>
        <w:t>（由投标人填写）</w:t>
      </w:r>
      <w:r>
        <w:rPr>
          <w:rStyle w:val="14"/>
          <w:rFonts w:hint="eastAsia" w:ascii="宋体" w:hAnsi="宋体" w:eastAsia="宋体" w:cs="宋体"/>
          <w:b/>
          <w:bCs/>
          <w:i w:val="0"/>
          <w:iCs w:val="0"/>
          <w:caps w:val="0"/>
          <w:color w:val="auto"/>
          <w:spacing w:val="0"/>
          <w:sz w:val="32"/>
          <w:szCs w:val="32"/>
          <w:shd w:val="clear" w:fill="FFFFFF"/>
        </w:rPr>
        <w:t>月</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Style w:val="14"/>
          <w:rFonts w:hint="eastAsia" w:ascii="宋体" w:hAnsi="宋体" w:eastAsia="宋体" w:cs="宋体"/>
          <w:b/>
          <w:bCs/>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auto"/>
          <w:sz w:val="24"/>
          <w:szCs w:val="24"/>
        </w:rPr>
      </w:pPr>
      <w:r>
        <w:rPr>
          <w:rStyle w:val="14"/>
          <w:rFonts w:hint="eastAsia" w:ascii="宋体" w:hAnsi="宋体" w:eastAsia="宋体" w:cs="宋体"/>
          <w:b/>
          <w:bCs/>
          <w:i w:val="0"/>
          <w:iCs w:val="0"/>
          <w:caps w:val="0"/>
          <w:color w:val="auto"/>
          <w:spacing w:val="0"/>
          <w:sz w:val="24"/>
          <w:szCs w:val="24"/>
          <w:shd w:val="clear" w:fill="FFFFFF"/>
        </w:rPr>
        <w:t>索引</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一、开标一览表</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二、投标分项报价表</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三、招标文件规定的价格扣除证明材料（若有）</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四、招标文件规定的加分证明材料（若有）</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br w:type="textWrapping"/>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Style w:val="14"/>
          <w:rFonts w:hint="eastAsia" w:ascii="宋体" w:hAnsi="宋体" w:eastAsia="宋体" w:cs="宋体"/>
          <w:b/>
          <w:bCs/>
          <w:i w:val="0"/>
          <w:iCs w:val="0"/>
          <w:caps w:val="0"/>
          <w:color w:val="auto"/>
          <w:spacing w:val="0"/>
          <w:sz w:val="24"/>
          <w:szCs w:val="24"/>
          <w:shd w:val="clear" w:fill="FFFFFF"/>
        </w:rPr>
        <w:t>一、开标一览表</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项目编号：</w:t>
      </w:r>
      <w:r>
        <w:rPr>
          <w:rFonts w:hint="eastAsia" w:ascii="宋体" w:hAnsi="宋体" w:eastAsia="宋体" w:cs="宋体"/>
          <w:i w:val="0"/>
          <w:iCs w:val="0"/>
          <w:caps w:val="0"/>
          <w:color w:val="auto"/>
          <w:spacing w:val="0"/>
          <w:sz w:val="24"/>
          <w:szCs w:val="24"/>
          <w:u w:val="single"/>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货币及单位：人民币元</w:t>
      </w:r>
    </w:p>
    <w:tbl>
      <w:tblPr>
        <w:tblStyle w:val="11"/>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090"/>
        <w:gridCol w:w="5130"/>
        <w:gridCol w:w="1605"/>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090"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w:t>
            </w:r>
          </w:p>
        </w:tc>
        <w:tc>
          <w:tcPr>
            <w:tcW w:w="5130"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投标报价</w:t>
            </w:r>
          </w:p>
        </w:tc>
        <w:tc>
          <w:tcPr>
            <w:tcW w:w="1605"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投标保证金</w:t>
            </w:r>
          </w:p>
        </w:tc>
        <w:tc>
          <w:tcPr>
            <w:tcW w:w="1778"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0" w:hRule="atLeast"/>
          <w:jc w:val="center"/>
        </w:trPr>
        <w:tc>
          <w:tcPr>
            <w:tcW w:w="1090"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5130"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投标总价（大写金额）：</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tc>
        <w:tc>
          <w:tcPr>
            <w:tcW w:w="160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c>
          <w:tcPr>
            <w:tcW w:w="1778" w:type="dxa"/>
            <w:vMerge w:val="restart"/>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a.投标报价的明细：详见《投标分项报价表》。</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b.招标文件规定的价格扣除证明材料（若有）：详见报价部分。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1090"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5130"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投标总价（大写金额）：</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tc>
        <w:tc>
          <w:tcPr>
            <w:tcW w:w="160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c>
          <w:tcPr>
            <w:tcW w:w="1778"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0" w:after="0" w:line="400" w:lineRule="exact"/>
              <w:ind w:left="0" w:right="0"/>
              <w:jc w:val="left"/>
              <w:textAlignment w:val="auto"/>
              <w:rPr>
                <w:rFonts w:hint="eastAsia" w:ascii="宋体" w:hAnsi="宋体" w:eastAsia="宋体" w:cs="宋体"/>
                <w:color w:val="auto"/>
                <w:sz w:val="24"/>
                <w:szCs w:val="24"/>
              </w:rPr>
            </w:pPr>
          </w:p>
        </w:tc>
      </w:tr>
    </w:tbl>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※注意：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1、本表应按照下列规定填写：</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1.1投标人应按照本表格式填写所投的采购包的“投标报价”。</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1.2本表中列示的“采购包”应与《投标分项报价表》中列示的“采购包”保持一致，即：若本表中列示的“采购包”为“1”时，《投标分项报价表》中列示的“采购包”亦应为“1”，以此类推。</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1.3“大写金额”指“投标报价”应用“壹、贰、叁、肆、伍、陆、柒、捌、玖、拾、佰、仟、万、亿、元、角、分、零”等进行填写。</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投标人：</w:t>
      </w:r>
      <w:r>
        <w:rPr>
          <w:rFonts w:hint="eastAsia" w:ascii="宋体" w:hAnsi="宋体" w:eastAsia="宋体" w:cs="宋体"/>
          <w:i w:val="0"/>
          <w:iCs w:val="0"/>
          <w:caps w:val="0"/>
          <w:color w:val="auto"/>
          <w:spacing w:val="0"/>
          <w:sz w:val="24"/>
          <w:szCs w:val="24"/>
          <w:u w:val="single"/>
          <w:shd w:val="clear" w:fill="FFFFFF"/>
        </w:rPr>
        <w:t>（全称并加盖单位公章）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日期：</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年</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24"/>
          <w:szCs w:val="24"/>
          <w:shd w:val="clear" w:fill="FFFFFF"/>
        </w:rPr>
      </w:pPr>
      <w:r>
        <w:rPr>
          <w:rStyle w:val="14"/>
          <w:rFonts w:hint="eastAsia" w:ascii="宋体" w:hAnsi="宋体" w:eastAsia="宋体" w:cs="宋体"/>
          <w:b/>
          <w:bCs/>
          <w:i w:val="0"/>
          <w:iCs w:val="0"/>
          <w:caps w:val="0"/>
          <w:color w:val="auto"/>
          <w:spacing w:val="0"/>
          <w:sz w:val="24"/>
          <w:szCs w:val="24"/>
          <w:shd w:val="clear" w:fill="FFFFFF"/>
        </w:rPr>
        <w:br w:type="textWrapping"/>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Style w:val="14"/>
          <w:rFonts w:hint="eastAsia" w:ascii="宋体" w:hAnsi="宋体" w:eastAsia="宋体" w:cs="宋体"/>
          <w:b/>
          <w:bCs/>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Style w:val="14"/>
          <w:rFonts w:hint="eastAsia" w:ascii="宋体" w:hAnsi="宋体" w:eastAsia="宋体" w:cs="宋体"/>
          <w:b/>
          <w:bCs/>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Style w:val="14"/>
          <w:rFonts w:hint="eastAsia" w:ascii="宋体" w:hAnsi="宋体" w:eastAsia="宋体" w:cs="宋体"/>
          <w:b/>
          <w:bCs/>
          <w:i w:val="0"/>
          <w:iCs w:val="0"/>
          <w:caps w:val="0"/>
          <w:color w:val="auto"/>
          <w:spacing w:val="0"/>
          <w:sz w:val="24"/>
          <w:szCs w:val="24"/>
          <w:shd w:val="clear" w:fill="FFFFFF"/>
        </w:rPr>
        <w:t>二、投标分项报价表</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项目编号：</w:t>
      </w:r>
      <w:r>
        <w:rPr>
          <w:rFonts w:hint="eastAsia" w:ascii="宋体" w:hAnsi="宋体" w:eastAsia="宋体" w:cs="宋体"/>
          <w:i w:val="0"/>
          <w:iCs w:val="0"/>
          <w:caps w:val="0"/>
          <w:color w:val="auto"/>
          <w:spacing w:val="0"/>
          <w:sz w:val="24"/>
          <w:szCs w:val="24"/>
          <w:u w:val="single"/>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货币及单位：人民币元</w:t>
      </w:r>
    </w:p>
    <w:tbl>
      <w:tblPr>
        <w:tblStyle w:val="11"/>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001"/>
        <w:gridCol w:w="945"/>
        <w:gridCol w:w="1380"/>
        <w:gridCol w:w="1155"/>
        <w:gridCol w:w="990"/>
        <w:gridCol w:w="1185"/>
        <w:gridCol w:w="703"/>
        <w:gridCol w:w="1090"/>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1001"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w:t>
            </w:r>
          </w:p>
        </w:tc>
        <w:tc>
          <w:tcPr>
            <w:tcW w:w="945"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品目号</w:t>
            </w:r>
          </w:p>
        </w:tc>
        <w:tc>
          <w:tcPr>
            <w:tcW w:w="1380"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投标标的</w:t>
            </w:r>
          </w:p>
        </w:tc>
        <w:tc>
          <w:tcPr>
            <w:tcW w:w="1155"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规格</w:t>
            </w:r>
          </w:p>
        </w:tc>
        <w:tc>
          <w:tcPr>
            <w:tcW w:w="990"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来源地</w:t>
            </w:r>
          </w:p>
        </w:tc>
        <w:tc>
          <w:tcPr>
            <w:tcW w:w="1185"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单价</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（现场）</w:t>
            </w:r>
          </w:p>
        </w:tc>
        <w:tc>
          <w:tcPr>
            <w:tcW w:w="703"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090"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总价</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（现场）</w:t>
            </w:r>
          </w:p>
        </w:tc>
        <w:tc>
          <w:tcPr>
            <w:tcW w:w="1126"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1001" w:type="dxa"/>
            <w:vMerge w:val="restart"/>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945"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80" w:type="dxa"/>
            <w:shd w:val="clear" w:color="auto" w:fill="auto"/>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c>
          <w:tcPr>
            <w:tcW w:w="115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c>
          <w:tcPr>
            <w:tcW w:w="990" w:type="dxa"/>
            <w:shd w:val="clear" w:color="auto" w:fill="auto"/>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c>
          <w:tcPr>
            <w:tcW w:w="1185" w:type="dxa"/>
            <w:shd w:val="clear" w:color="auto" w:fill="auto"/>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c>
          <w:tcPr>
            <w:tcW w:w="703" w:type="dxa"/>
            <w:shd w:val="clear" w:color="auto" w:fill="auto"/>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c>
          <w:tcPr>
            <w:tcW w:w="1090" w:type="dxa"/>
            <w:shd w:val="clear" w:color="auto" w:fill="auto"/>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c>
          <w:tcPr>
            <w:tcW w:w="1126" w:type="dxa"/>
            <w:shd w:val="clear" w:color="auto" w:fill="auto"/>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1001"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0" w:after="0" w:line="400" w:lineRule="exact"/>
              <w:ind w:left="0" w:right="0"/>
              <w:jc w:val="center"/>
              <w:textAlignment w:val="auto"/>
              <w:rPr>
                <w:rFonts w:hint="eastAsia" w:ascii="宋体" w:hAnsi="宋体" w:eastAsia="宋体" w:cs="宋体"/>
                <w:color w:val="auto"/>
                <w:sz w:val="24"/>
                <w:szCs w:val="24"/>
              </w:rPr>
            </w:pPr>
          </w:p>
        </w:tc>
        <w:tc>
          <w:tcPr>
            <w:tcW w:w="94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c>
          <w:tcPr>
            <w:tcW w:w="1380" w:type="dxa"/>
            <w:shd w:val="clear" w:color="auto" w:fill="auto"/>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c>
          <w:tcPr>
            <w:tcW w:w="115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c>
          <w:tcPr>
            <w:tcW w:w="990" w:type="dxa"/>
            <w:shd w:val="clear" w:color="auto" w:fill="auto"/>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c>
          <w:tcPr>
            <w:tcW w:w="1185" w:type="dxa"/>
            <w:shd w:val="clear" w:color="auto" w:fill="auto"/>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c>
          <w:tcPr>
            <w:tcW w:w="703" w:type="dxa"/>
            <w:shd w:val="clear" w:color="auto" w:fill="auto"/>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c>
          <w:tcPr>
            <w:tcW w:w="1090" w:type="dxa"/>
            <w:shd w:val="clear" w:color="auto" w:fill="auto"/>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c>
          <w:tcPr>
            <w:tcW w:w="1126" w:type="dxa"/>
            <w:shd w:val="clear" w:color="auto" w:fill="auto"/>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1001"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94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c>
          <w:tcPr>
            <w:tcW w:w="1380" w:type="dxa"/>
            <w:shd w:val="clear" w:color="auto" w:fill="auto"/>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c>
          <w:tcPr>
            <w:tcW w:w="115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c>
          <w:tcPr>
            <w:tcW w:w="990" w:type="dxa"/>
            <w:shd w:val="clear" w:color="auto" w:fill="auto"/>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c>
          <w:tcPr>
            <w:tcW w:w="1185" w:type="dxa"/>
            <w:shd w:val="clear" w:color="auto" w:fill="auto"/>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c>
          <w:tcPr>
            <w:tcW w:w="703" w:type="dxa"/>
            <w:shd w:val="clear" w:color="auto" w:fill="auto"/>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c>
          <w:tcPr>
            <w:tcW w:w="1090" w:type="dxa"/>
            <w:shd w:val="clear" w:color="auto" w:fill="auto"/>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c>
          <w:tcPr>
            <w:tcW w:w="1126" w:type="dxa"/>
            <w:shd w:val="clear" w:color="auto" w:fill="auto"/>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r>
    </w:tbl>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※注意：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1、本表应按照下列规定填写：</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1.2“投标标的”为货物的：</w:t>
      </w:r>
      <w:r>
        <w:rPr>
          <w:rStyle w:val="14"/>
          <w:rFonts w:hint="eastAsia" w:ascii="宋体" w:hAnsi="宋体" w:eastAsia="宋体" w:cs="宋体"/>
          <w:b/>
          <w:bCs/>
          <w:i w:val="0"/>
          <w:iCs w:val="0"/>
          <w:caps w:val="0"/>
          <w:color w:val="auto"/>
          <w:spacing w:val="0"/>
          <w:sz w:val="24"/>
          <w:szCs w:val="24"/>
          <w:shd w:val="clear" w:fill="FFFFFF"/>
        </w:rPr>
        <w:t>“规格”</w:t>
      </w:r>
      <w:r>
        <w:rPr>
          <w:rFonts w:hint="eastAsia" w:ascii="宋体" w:hAnsi="宋体" w:eastAsia="宋体" w:cs="宋体"/>
          <w:i w:val="0"/>
          <w:iCs w:val="0"/>
          <w:caps w:val="0"/>
          <w:color w:val="auto"/>
          <w:spacing w:val="0"/>
          <w:sz w:val="24"/>
          <w:szCs w:val="24"/>
          <w:shd w:val="clear" w:fill="FFFFFF"/>
        </w:rPr>
        <w:t>项下应填写货物制造厂商赋予的品牌（属于节能、环保清单产品的货物，填写的品牌名称应与清单载明的品牌名称保持一致）及具体型号。</w:t>
      </w:r>
      <w:r>
        <w:rPr>
          <w:rStyle w:val="14"/>
          <w:rFonts w:hint="eastAsia" w:ascii="宋体" w:hAnsi="宋体" w:eastAsia="宋体" w:cs="宋体"/>
          <w:b/>
          <w:bCs/>
          <w:i w:val="0"/>
          <w:iCs w:val="0"/>
          <w:caps w:val="0"/>
          <w:color w:val="auto"/>
          <w:spacing w:val="0"/>
          <w:sz w:val="24"/>
          <w:szCs w:val="24"/>
          <w:shd w:val="clear" w:fill="FFFFFF"/>
        </w:rPr>
        <w:t>“来源地”</w:t>
      </w:r>
      <w:r>
        <w:rPr>
          <w:rFonts w:hint="eastAsia" w:ascii="宋体" w:hAnsi="宋体" w:eastAsia="宋体" w:cs="宋体"/>
          <w:i w:val="0"/>
          <w:iCs w:val="0"/>
          <w:caps w:val="0"/>
          <w:color w:val="auto"/>
          <w:spacing w:val="0"/>
          <w:sz w:val="24"/>
          <w:szCs w:val="24"/>
          <w:shd w:val="clear" w:fill="FFFFFF"/>
        </w:rPr>
        <w:t>应填写货物的原产地。</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1.3“投标标的”为服务的：</w:t>
      </w:r>
      <w:r>
        <w:rPr>
          <w:rStyle w:val="14"/>
          <w:rFonts w:hint="eastAsia" w:ascii="宋体" w:hAnsi="宋体" w:eastAsia="宋体" w:cs="宋体"/>
          <w:b/>
          <w:bCs/>
          <w:i w:val="0"/>
          <w:iCs w:val="0"/>
          <w:caps w:val="0"/>
          <w:color w:val="auto"/>
          <w:spacing w:val="0"/>
          <w:sz w:val="24"/>
          <w:szCs w:val="24"/>
          <w:shd w:val="clear" w:fill="FFFFFF"/>
        </w:rPr>
        <w:t>“规格”</w:t>
      </w:r>
      <w:r>
        <w:rPr>
          <w:rFonts w:hint="eastAsia" w:ascii="宋体" w:hAnsi="宋体" w:eastAsia="宋体" w:cs="宋体"/>
          <w:i w:val="0"/>
          <w:iCs w:val="0"/>
          <w:caps w:val="0"/>
          <w:color w:val="auto"/>
          <w:spacing w:val="0"/>
          <w:sz w:val="24"/>
          <w:szCs w:val="24"/>
          <w:shd w:val="clear" w:fill="FFFFFF"/>
        </w:rPr>
        <w:t>项下应填写服务提供者提供的服务标准及品牌（若有）。</w:t>
      </w:r>
      <w:r>
        <w:rPr>
          <w:rStyle w:val="14"/>
          <w:rFonts w:hint="eastAsia" w:ascii="宋体" w:hAnsi="宋体" w:eastAsia="宋体" w:cs="宋体"/>
          <w:b/>
          <w:bCs/>
          <w:i w:val="0"/>
          <w:iCs w:val="0"/>
          <w:caps w:val="0"/>
          <w:color w:val="auto"/>
          <w:spacing w:val="0"/>
          <w:sz w:val="24"/>
          <w:szCs w:val="24"/>
          <w:shd w:val="clear" w:fill="FFFFFF"/>
        </w:rPr>
        <w:t>“来源地”</w:t>
      </w:r>
      <w:r>
        <w:rPr>
          <w:rFonts w:hint="eastAsia" w:ascii="宋体" w:hAnsi="宋体" w:eastAsia="宋体" w:cs="宋体"/>
          <w:i w:val="0"/>
          <w:iCs w:val="0"/>
          <w:caps w:val="0"/>
          <w:color w:val="auto"/>
          <w:spacing w:val="0"/>
          <w:sz w:val="24"/>
          <w:szCs w:val="24"/>
          <w:shd w:val="clear" w:fill="FFFFFF"/>
        </w:rPr>
        <w:t>应填写服务提供者的所在地。</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1.4同一采购包中，</w:t>
      </w:r>
      <w:r>
        <w:rPr>
          <w:rStyle w:val="14"/>
          <w:rFonts w:hint="eastAsia" w:ascii="宋体" w:hAnsi="宋体" w:eastAsia="宋体" w:cs="宋体"/>
          <w:b/>
          <w:bCs/>
          <w:i w:val="0"/>
          <w:iCs w:val="0"/>
          <w:caps w:val="0"/>
          <w:color w:val="auto"/>
          <w:spacing w:val="0"/>
          <w:sz w:val="24"/>
          <w:szCs w:val="24"/>
          <w:shd w:val="clear" w:fill="FFFFFF"/>
        </w:rPr>
        <w:t>“单价（现场）”</w:t>
      </w:r>
      <w:r>
        <w:rPr>
          <w:rFonts w:hint="eastAsia" w:ascii="宋体" w:hAnsi="宋体" w:eastAsia="宋体" w:cs="宋体"/>
          <w:i w:val="0"/>
          <w:iCs w:val="0"/>
          <w:caps w:val="0"/>
          <w:color w:val="auto"/>
          <w:spacing w:val="0"/>
          <w:sz w:val="24"/>
          <w:szCs w:val="24"/>
          <w:shd w:val="clear" w:fill="FFFFFF"/>
        </w:rPr>
        <w:t>×</w:t>
      </w:r>
      <w:r>
        <w:rPr>
          <w:rStyle w:val="14"/>
          <w:rFonts w:hint="eastAsia" w:ascii="宋体" w:hAnsi="宋体" w:eastAsia="宋体" w:cs="宋体"/>
          <w:b/>
          <w:bCs/>
          <w:i w:val="0"/>
          <w:iCs w:val="0"/>
          <w:caps w:val="0"/>
          <w:color w:val="auto"/>
          <w:spacing w:val="0"/>
          <w:sz w:val="24"/>
          <w:szCs w:val="24"/>
          <w:shd w:val="clear" w:fill="FFFFFF"/>
        </w:rPr>
        <w:t>“数量”</w:t>
      </w:r>
      <w:r>
        <w:rPr>
          <w:rFonts w:hint="eastAsia" w:ascii="宋体" w:hAnsi="宋体" w:eastAsia="宋体" w:cs="宋体"/>
          <w:i w:val="0"/>
          <w:iCs w:val="0"/>
          <w:caps w:val="0"/>
          <w:color w:val="auto"/>
          <w:spacing w:val="0"/>
          <w:sz w:val="24"/>
          <w:szCs w:val="24"/>
          <w:shd w:val="clear" w:fill="FFFFFF"/>
        </w:rPr>
        <w:t>=</w:t>
      </w:r>
      <w:r>
        <w:rPr>
          <w:rStyle w:val="14"/>
          <w:rFonts w:hint="eastAsia" w:ascii="宋体" w:hAnsi="宋体" w:eastAsia="宋体" w:cs="宋体"/>
          <w:b/>
          <w:bCs/>
          <w:i w:val="0"/>
          <w:iCs w:val="0"/>
          <w:caps w:val="0"/>
          <w:color w:val="auto"/>
          <w:spacing w:val="0"/>
          <w:sz w:val="24"/>
          <w:szCs w:val="24"/>
          <w:shd w:val="clear" w:fill="FFFFFF"/>
        </w:rPr>
        <w:t>“总价（现场）”</w:t>
      </w:r>
      <w:r>
        <w:rPr>
          <w:rFonts w:hint="eastAsia" w:ascii="宋体" w:hAnsi="宋体" w:eastAsia="宋体" w:cs="宋体"/>
          <w:i w:val="0"/>
          <w:iCs w:val="0"/>
          <w:caps w:val="0"/>
          <w:color w:val="auto"/>
          <w:spacing w:val="0"/>
          <w:sz w:val="24"/>
          <w:szCs w:val="24"/>
          <w:shd w:val="clear" w:fill="FFFFFF"/>
        </w:rPr>
        <w:t>，全部品目号</w:t>
      </w:r>
      <w:r>
        <w:rPr>
          <w:rStyle w:val="14"/>
          <w:rFonts w:hint="eastAsia" w:ascii="宋体" w:hAnsi="宋体" w:eastAsia="宋体" w:cs="宋体"/>
          <w:b/>
          <w:bCs/>
          <w:i w:val="0"/>
          <w:iCs w:val="0"/>
          <w:caps w:val="0"/>
          <w:color w:val="auto"/>
          <w:spacing w:val="0"/>
          <w:sz w:val="24"/>
          <w:szCs w:val="24"/>
          <w:shd w:val="clear" w:fill="FFFFFF"/>
        </w:rPr>
        <w:t>“总价（现场）”</w:t>
      </w:r>
      <w:r>
        <w:rPr>
          <w:rFonts w:hint="eastAsia" w:ascii="宋体" w:hAnsi="宋体" w:eastAsia="宋体" w:cs="宋体"/>
          <w:i w:val="0"/>
          <w:iCs w:val="0"/>
          <w:caps w:val="0"/>
          <w:color w:val="auto"/>
          <w:spacing w:val="0"/>
          <w:sz w:val="24"/>
          <w:szCs w:val="24"/>
          <w:shd w:val="clear" w:fill="FFFFFF"/>
        </w:rPr>
        <w:t>的合计金额应与《开标一览表》中相应采购包列示的</w:t>
      </w:r>
      <w:r>
        <w:rPr>
          <w:rStyle w:val="14"/>
          <w:rFonts w:hint="eastAsia" w:ascii="宋体" w:hAnsi="宋体" w:eastAsia="宋体" w:cs="宋体"/>
          <w:b/>
          <w:bCs/>
          <w:i w:val="0"/>
          <w:iCs w:val="0"/>
          <w:caps w:val="0"/>
          <w:color w:val="auto"/>
          <w:spacing w:val="0"/>
          <w:sz w:val="24"/>
          <w:szCs w:val="24"/>
          <w:shd w:val="clear" w:fill="FFFFFF"/>
        </w:rPr>
        <w:t>“投标总价”</w:t>
      </w:r>
      <w:r>
        <w:rPr>
          <w:rFonts w:hint="eastAsia" w:ascii="宋体" w:hAnsi="宋体" w:eastAsia="宋体" w:cs="宋体"/>
          <w:i w:val="0"/>
          <w:iCs w:val="0"/>
          <w:caps w:val="0"/>
          <w:color w:val="auto"/>
          <w:spacing w:val="0"/>
          <w:sz w:val="24"/>
          <w:szCs w:val="24"/>
          <w:shd w:val="clear" w:fill="FFFFFF"/>
        </w:rPr>
        <w:t>保持一致。</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1.5若招标文件要求投标人对“备品备件价格、专用工具价格、技术服务费、安装调试费、检验培训费、运输费、保险费、税收”等进行报价的，请在本表的</w:t>
      </w:r>
      <w:r>
        <w:rPr>
          <w:rStyle w:val="14"/>
          <w:rFonts w:hint="eastAsia" w:ascii="宋体" w:hAnsi="宋体" w:eastAsia="宋体" w:cs="宋体"/>
          <w:b/>
          <w:bCs/>
          <w:i w:val="0"/>
          <w:iCs w:val="0"/>
          <w:caps w:val="0"/>
          <w:color w:val="auto"/>
          <w:spacing w:val="0"/>
          <w:sz w:val="24"/>
          <w:szCs w:val="24"/>
          <w:shd w:val="clear" w:fill="FFFFFF"/>
        </w:rPr>
        <w:t>“备注”</w:t>
      </w:r>
      <w:r>
        <w:rPr>
          <w:rFonts w:hint="eastAsia" w:ascii="宋体" w:hAnsi="宋体" w:eastAsia="宋体" w:cs="宋体"/>
          <w:i w:val="0"/>
          <w:iCs w:val="0"/>
          <w:caps w:val="0"/>
          <w:color w:val="auto"/>
          <w:spacing w:val="0"/>
          <w:sz w:val="24"/>
          <w:szCs w:val="24"/>
          <w:shd w:val="clear" w:fill="FFFFFF"/>
        </w:rPr>
        <w:t>项下填写。</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投标人：</w:t>
      </w:r>
      <w:r>
        <w:rPr>
          <w:rFonts w:hint="eastAsia" w:ascii="宋体" w:hAnsi="宋体" w:eastAsia="宋体" w:cs="宋体"/>
          <w:i w:val="0"/>
          <w:iCs w:val="0"/>
          <w:caps w:val="0"/>
          <w:color w:val="auto"/>
          <w:spacing w:val="0"/>
          <w:sz w:val="24"/>
          <w:szCs w:val="24"/>
          <w:u w:val="single"/>
          <w:shd w:val="clear" w:fill="FFFFFF"/>
        </w:rPr>
        <w:t>（全称并加盖单位公章）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日期：</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年</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日</w:t>
      </w:r>
      <w:r>
        <w:rPr>
          <w:rFonts w:hint="eastAsia" w:ascii="宋体" w:hAnsi="宋体" w:eastAsia="宋体" w:cs="宋体"/>
          <w:i w:val="0"/>
          <w:iCs w:val="0"/>
          <w:caps w:val="0"/>
          <w:color w:val="auto"/>
          <w:spacing w:val="0"/>
          <w:sz w:val="24"/>
          <w:szCs w:val="24"/>
          <w:shd w:val="clear" w:fill="FFFFFF"/>
        </w:rPr>
        <w:br w:type="textWrapping"/>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br w:type="textWrapping"/>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Style w:val="14"/>
          <w:rFonts w:hint="eastAsia" w:ascii="宋体" w:hAnsi="宋体" w:eastAsia="宋体" w:cs="宋体"/>
          <w:b/>
          <w:bCs/>
          <w:i w:val="0"/>
          <w:iCs w:val="0"/>
          <w:caps w:val="0"/>
          <w:color w:val="auto"/>
          <w:spacing w:val="0"/>
          <w:sz w:val="24"/>
          <w:szCs w:val="24"/>
          <w:shd w:val="clear" w:fill="FFFFFF"/>
        </w:rPr>
        <w:t>三、招标文件规定的价格扣除证明材料（若有）</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Style w:val="14"/>
          <w:rFonts w:hint="eastAsia" w:ascii="宋体" w:hAnsi="宋体" w:eastAsia="宋体" w:cs="宋体"/>
          <w:b/>
          <w:bCs/>
          <w:i w:val="0"/>
          <w:iCs w:val="0"/>
          <w:caps w:val="0"/>
          <w:color w:val="auto"/>
          <w:spacing w:val="0"/>
          <w:sz w:val="24"/>
          <w:szCs w:val="24"/>
          <w:shd w:val="clear" w:fill="FFFFFF"/>
        </w:rPr>
        <w:t>三-1优先类节能产品、环境标志产品价格扣除证明材料（若有）</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Style w:val="14"/>
          <w:rFonts w:hint="eastAsia" w:ascii="宋体" w:hAnsi="宋体" w:eastAsia="宋体" w:cs="宋体"/>
          <w:b/>
          <w:bCs/>
          <w:i w:val="0"/>
          <w:iCs w:val="0"/>
          <w:caps w:val="0"/>
          <w:color w:val="auto"/>
          <w:spacing w:val="0"/>
          <w:sz w:val="24"/>
          <w:szCs w:val="24"/>
          <w:shd w:val="clear" w:fill="FFFFFF"/>
        </w:rPr>
        <w:t>三-1-①优先类节能产品、环境标志产品统计表（价格扣除适用，若有）</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项目编号：</w:t>
      </w:r>
      <w:r>
        <w:rPr>
          <w:rFonts w:hint="eastAsia" w:ascii="宋体" w:hAnsi="宋体" w:eastAsia="宋体" w:cs="宋体"/>
          <w:i w:val="0"/>
          <w:iCs w:val="0"/>
          <w:caps w:val="0"/>
          <w:color w:val="auto"/>
          <w:spacing w:val="0"/>
          <w:sz w:val="24"/>
          <w:szCs w:val="24"/>
          <w:u w:val="single"/>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货币及单位：人民币元</w:t>
      </w:r>
    </w:p>
    <w:tbl>
      <w:tblPr>
        <w:tblStyle w:val="11"/>
        <w:tblW w:w="9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754"/>
        <w:gridCol w:w="1215"/>
        <w:gridCol w:w="1215"/>
        <w:gridCol w:w="1215"/>
        <w:gridCol w:w="1215"/>
        <w:gridCol w:w="1215"/>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1754"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c>
          <w:tcPr>
            <w:tcW w:w="7868" w:type="dxa"/>
            <w:gridSpan w:val="6"/>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本采购包内属于节能、环境标志产品的情况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1754"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w:t>
            </w:r>
          </w:p>
        </w:tc>
        <w:tc>
          <w:tcPr>
            <w:tcW w:w="1215"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品目号</w:t>
            </w:r>
          </w:p>
        </w:tc>
        <w:tc>
          <w:tcPr>
            <w:tcW w:w="1215"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货物名称</w:t>
            </w:r>
          </w:p>
        </w:tc>
        <w:tc>
          <w:tcPr>
            <w:tcW w:w="1215"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单价</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（现场）</w:t>
            </w:r>
          </w:p>
        </w:tc>
        <w:tc>
          <w:tcPr>
            <w:tcW w:w="1215"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215"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总价</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（现场）</w:t>
            </w:r>
          </w:p>
        </w:tc>
        <w:tc>
          <w:tcPr>
            <w:tcW w:w="1793"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754" w:type="dxa"/>
            <w:vMerge w:val="restart"/>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215"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21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c>
          <w:tcPr>
            <w:tcW w:w="121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c>
          <w:tcPr>
            <w:tcW w:w="121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c>
          <w:tcPr>
            <w:tcW w:w="121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c>
          <w:tcPr>
            <w:tcW w:w="1793"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754"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0" w:after="0" w:line="400" w:lineRule="exact"/>
              <w:ind w:left="0" w:right="0"/>
              <w:jc w:val="left"/>
              <w:textAlignment w:val="auto"/>
              <w:rPr>
                <w:rFonts w:hint="eastAsia" w:ascii="宋体" w:hAnsi="宋体" w:eastAsia="宋体" w:cs="宋体"/>
                <w:color w:val="auto"/>
                <w:sz w:val="24"/>
                <w:szCs w:val="24"/>
              </w:rPr>
            </w:pPr>
          </w:p>
        </w:tc>
        <w:tc>
          <w:tcPr>
            <w:tcW w:w="1215"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21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c>
          <w:tcPr>
            <w:tcW w:w="121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c>
          <w:tcPr>
            <w:tcW w:w="121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c>
          <w:tcPr>
            <w:tcW w:w="121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c>
          <w:tcPr>
            <w:tcW w:w="1793"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1754"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7868" w:type="dxa"/>
            <w:gridSpan w:val="6"/>
            <w:shd w:val="clear" w:color="auto" w:fill="auto"/>
            <w:tcMar>
              <w:top w:w="0" w:type="dxa"/>
              <w:left w:w="105" w:type="dxa"/>
              <w:bottom w:w="0" w:type="dxa"/>
              <w:right w:w="105" w:type="dxa"/>
            </w:tcMar>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a.采购包内属于节能、环境标志产品的报价总金额：</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b.采购包投标总价（报价总金额）：</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c.“采购包内属于节能、环境标志产品的报价总金额”占“采购包投标总价（报价总金额）”的比例（以%列示）：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tc>
      </w:tr>
    </w:tbl>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※注意：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1、对节能、环境标志产品计算价格扣除时，只依据投标文件</w:t>
      </w:r>
      <w:r>
        <w:rPr>
          <w:rStyle w:val="14"/>
          <w:rFonts w:hint="eastAsia" w:ascii="宋体" w:hAnsi="宋体" w:eastAsia="宋体" w:cs="宋体"/>
          <w:b/>
          <w:bCs/>
          <w:i w:val="0"/>
          <w:iCs w:val="0"/>
          <w:caps w:val="0"/>
          <w:color w:val="auto"/>
          <w:spacing w:val="0"/>
          <w:sz w:val="24"/>
          <w:szCs w:val="24"/>
          <w:shd w:val="clear" w:fill="FFFFFF"/>
        </w:rPr>
        <w:t>“三-1-②优先类节能产品、环境标志产品证明材料（价格扣除适用，若有）”。</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2、本表以采购包为单位，不同采购包请分别填写；同一采购包请按照其品目号顺序分别填写。</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3、具体统计、计算：</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3.1若节能、环境标志产品仅是构成投标产品的部件、组件或零件，则该投标产品不享受鼓励优惠政策。同一品目中各认证证书不重复计算价格扣除。强制类节能产品不享受价格扣除。</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3.2计算结果若除不尽，可四舍五入保留到小数点后两位。</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3.3投标人应按照招标文件要求认真统计、计算，否则评标委员会不予认定。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3.4若无节能、环境标志产品，不填写本表，否则，</w:t>
      </w:r>
      <w:r>
        <w:rPr>
          <w:rStyle w:val="14"/>
          <w:rFonts w:hint="eastAsia" w:ascii="宋体" w:hAnsi="宋体" w:eastAsia="宋体" w:cs="宋体"/>
          <w:b/>
          <w:bCs/>
          <w:i w:val="0"/>
          <w:iCs w:val="0"/>
          <w:caps w:val="0"/>
          <w:color w:val="auto"/>
          <w:spacing w:val="0"/>
          <w:sz w:val="24"/>
          <w:szCs w:val="24"/>
          <w:shd w:val="clear" w:fill="FFFFFF"/>
        </w:rPr>
        <w:t>视为提供虚假材料。</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投标人：</w:t>
      </w:r>
      <w:r>
        <w:rPr>
          <w:rFonts w:hint="eastAsia" w:ascii="宋体" w:hAnsi="宋体" w:eastAsia="宋体" w:cs="宋体"/>
          <w:i w:val="0"/>
          <w:iCs w:val="0"/>
          <w:caps w:val="0"/>
          <w:color w:val="auto"/>
          <w:spacing w:val="0"/>
          <w:sz w:val="24"/>
          <w:szCs w:val="24"/>
          <w:u w:val="single"/>
          <w:shd w:val="clear" w:fill="FFFFFF"/>
        </w:rPr>
        <w:t>（全称并加盖单位公章）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日期：</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年</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Style w:val="14"/>
          <w:rFonts w:hint="eastAsia" w:ascii="宋体" w:hAnsi="宋体" w:eastAsia="宋体" w:cs="宋体"/>
          <w:b/>
          <w:bCs/>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24"/>
          <w:szCs w:val="24"/>
          <w:shd w:val="clear" w:fill="FFFFFF"/>
        </w:rPr>
      </w:pPr>
      <w:r>
        <w:rPr>
          <w:rStyle w:val="14"/>
          <w:rFonts w:hint="eastAsia" w:ascii="宋体" w:hAnsi="宋体" w:eastAsia="宋体" w:cs="宋体"/>
          <w:b/>
          <w:bCs/>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Style w:val="14"/>
          <w:rFonts w:hint="eastAsia" w:ascii="宋体" w:hAnsi="宋体" w:eastAsia="宋体" w:cs="宋体"/>
          <w:b/>
          <w:bCs/>
          <w:i w:val="0"/>
          <w:iCs w:val="0"/>
          <w:caps w:val="0"/>
          <w:color w:val="auto"/>
          <w:spacing w:val="0"/>
          <w:sz w:val="24"/>
          <w:szCs w:val="24"/>
          <w:shd w:val="clear" w:fill="FFFFFF"/>
        </w:rPr>
        <w:t>三-1-②优先类节能产品、环境标志产品证明材料（价格扣除适用，若有）</w:t>
      </w:r>
      <w:r>
        <w:rPr>
          <w:rStyle w:val="14"/>
          <w:rFonts w:hint="eastAsia" w:ascii="宋体" w:hAnsi="宋体" w:eastAsia="宋体" w:cs="宋体"/>
          <w:b/>
          <w:bCs/>
          <w:i w:val="0"/>
          <w:iCs w:val="0"/>
          <w:caps w:val="0"/>
          <w:color w:val="auto"/>
          <w:spacing w:val="0"/>
          <w:sz w:val="24"/>
          <w:szCs w:val="24"/>
          <w:shd w:val="clear" w:fill="FFFFFF"/>
        </w:rPr>
        <w:br w:type="textWrapping"/>
      </w:r>
      <w:r>
        <w:rPr>
          <w:rStyle w:val="14"/>
          <w:rFonts w:hint="eastAsia" w:ascii="宋体" w:hAnsi="宋体" w:eastAsia="宋体" w:cs="宋体"/>
          <w:b/>
          <w:bCs/>
          <w:i w:val="0"/>
          <w:iCs w:val="0"/>
          <w:caps w:val="0"/>
          <w:color w:val="auto"/>
          <w:spacing w:val="0"/>
          <w:sz w:val="24"/>
          <w:szCs w:val="24"/>
          <w:shd w:val="clear" w:fill="FFFFFF"/>
        </w:rPr>
        <w:t>三-2小型、微型企业产品等价格扣除证明材料（若有）</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Style w:val="14"/>
          <w:rFonts w:hint="eastAsia" w:ascii="宋体" w:hAnsi="宋体" w:eastAsia="宋体" w:cs="宋体"/>
          <w:b/>
          <w:bCs/>
          <w:i w:val="0"/>
          <w:iCs w:val="0"/>
          <w:caps w:val="0"/>
          <w:color w:val="auto"/>
          <w:spacing w:val="0"/>
          <w:sz w:val="24"/>
          <w:szCs w:val="24"/>
          <w:shd w:val="clear" w:fill="FFFFFF"/>
        </w:rPr>
        <w:t>三-2-①中小企业声明函（价格扣除适用，若有）</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val="0"/>
          <w:color w:val="auto"/>
          <w:sz w:val="24"/>
          <w:szCs w:val="24"/>
        </w:rPr>
      </w:pPr>
      <w:r>
        <w:rPr>
          <w:rStyle w:val="14"/>
          <w:rFonts w:hint="eastAsia" w:ascii="宋体" w:hAnsi="宋体" w:eastAsia="宋体" w:cs="宋体"/>
          <w:b/>
          <w:bCs/>
          <w:i w:val="0"/>
          <w:iCs w:val="0"/>
          <w:caps w:val="0"/>
          <w:color w:val="auto"/>
          <w:spacing w:val="0"/>
          <w:sz w:val="24"/>
          <w:szCs w:val="24"/>
          <w:shd w:val="clear" w:fill="FFFFFF"/>
        </w:rPr>
        <w:t>中小企业声明函（货物）</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1. </w:t>
      </w:r>
      <w:r>
        <w:rPr>
          <w:rFonts w:hint="eastAsia" w:ascii="宋体" w:hAnsi="宋体" w:eastAsia="宋体" w:cs="宋体"/>
          <w:i w:val="0"/>
          <w:iCs w:val="0"/>
          <w:caps w:val="0"/>
          <w:color w:val="auto"/>
          <w:spacing w:val="0"/>
          <w:sz w:val="24"/>
          <w:szCs w:val="24"/>
          <w:u w:val="single"/>
          <w:shd w:val="clear" w:fill="FFFFFF"/>
        </w:rPr>
        <w:t> （标的名称） </w:t>
      </w:r>
      <w:r>
        <w:rPr>
          <w:rFonts w:hint="eastAsia" w:ascii="宋体" w:hAnsi="宋体" w:eastAsia="宋体" w:cs="宋体"/>
          <w:i w:val="0"/>
          <w:iCs w:val="0"/>
          <w:caps w:val="0"/>
          <w:color w:val="auto"/>
          <w:spacing w:val="0"/>
          <w:sz w:val="24"/>
          <w:szCs w:val="24"/>
          <w:shd w:val="clear" w:fill="FFFFFF"/>
        </w:rPr>
        <w:t>，属于</w:t>
      </w:r>
      <w:r>
        <w:rPr>
          <w:rFonts w:hint="eastAsia" w:ascii="宋体" w:hAnsi="宋体" w:eastAsia="宋体" w:cs="宋体"/>
          <w:i w:val="0"/>
          <w:iCs w:val="0"/>
          <w:caps w:val="0"/>
          <w:color w:val="auto"/>
          <w:spacing w:val="0"/>
          <w:sz w:val="24"/>
          <w:szCs w:val="24"/>
          <w:u w:val="single"/>
          <w:shd w:val="clear" w:fill="FFFFFF"/>
        </w:rPr>
        <w:t>（采购文件中明确的所属行业）</w:t>
      </w:r>
      <w:r>
        <w:rPr>
          <w:rFonts w:hint="eastAsia" w:ascii="宋体" w:hAnsi="宋体" w:eastAsia="宋体" w:cs="宋体"/>
          <w:i w:val="0"/>
          <w:iCs w:val="0"/>
          <w:caps w:val="0"/>
          <w:color w:val="auto"/>
          <w:spacing w:val="0"/>
          <w:sz w:val="24"/>
          <w:szCs w:val="24"/>
          <w:shd w:val="clear" w:fill="FFFFFF"/>
        </w:rPr>
        <w:t>行业；制造商为（企业名称），从业人员</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人，营业收入为</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万元，资产总额为</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万元</w:t>
      </w:r>
      <w:r>
        <w:rPr>
          <w:rFonts w:hint="eastAsia" w:ascii="宋体" w:hAnsi="宋体" w:eastAsia="宋体" w:cs="宋体"/>
          <w:i w:val="0"/>
          <w:iCs w:val="0"/>
          <w:caps w:val="0"/>
          <w:color w:val="auto"/>
          <w:spacing w:val="0"/>
          <w:sz w:val="24"/>
          <w:szCs w:val="24"/>
          <w:shd w:val="clear" w:fill="FFFFFF"/>
          <w:vertAlign w:val="superscript"/>
        </w:rPr>
        <w:t>1</w:t>
      </w:r>
      <w:r>
        <w:rPr>
          <w:rFonts w:hint="eastAsia" w:ascii="宋体" w:hAnsi="宋体" w:eastAsia="宋体" w:cs="宋体"/>
          <w:i w:val="0"/>
          <w:iCs w:val="0"/>
          <w:caps w:val="0"/>
          <w:color w:val="auto"/>
          <w:spacing w:val="0"/>
          <w:sz w:val="24"/>
          <w:szCs w:val="24"/>
          <w:shd w:val="clear" w:fill="FFFFFF"/>
        </w:rPr>
        <w:t>，属于</w:t>
      </w:r>
      <w:r>
        <w:rPr>
          <w:rFonts w:hint="eastAsia" w:ascii="宋体" w:hAnsi="宋体" w:eastAsia="宋体" w:cs="宋体"/>
          <w:i w:val="0"/>
          <w:iCs w:val="0"/>
          <w:caps w:val="0"/>
          <w:color w:val="auto"/>
          <w:spacing w:val="0"/>
          <w:sz w:val="24"/>
          <w:szCs w:val="24"/>
          <w:u w:val="single"/>
          <w:shd w:val="clear" w:fill="FFFFFF"/>
        </w:rPr>
        <w:t>（中型企业、小型企业、微型企业）</w:t>
      </w:r>
      <w:r>
        <w:rPr>
          <w:rFonts w:hint="eastAsia" w:ascii="宋体" w:hAnsi="宋体" w:eastAsia="宋体" w:cs="宋体"/>
          <w:i w:val="0"/>
          <w:iCs w:val="0"/>
          <w:caps w:val="0"/>
          <w:color w:val="auto"/>
          <w:spacing w:val="0"/>
          <w:sz w:val="24"/>
          <w:szCs w:val="24"/>
          <w:shd w:val="clear" w:fill="FFFFFF"/>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2. </w:t>
      </w:r>
      <w:r>
        <w:rPr>
          <w:rFonts w:hint="eastAsia" w:ascii="宋体" w:hAnsi="宋体" w:eastAsia="宋体" w:cs="宋体"/>
          <w:i w:val="0"/>
          <w:iCs w:val="0"/>
          <w:caps w:val="0"/>
          <w:color w:val="auto"/>
          <w:spacing w:val="0"/>
          <w:sz w:val="24"/>
          <w:szCs w:val="24"/>
          <w:u w:val="single"/>
          <w:shd w:val="clear" w:fill="FFFFFF"/>
        </w:rPr>
        <w:t> （标的名称） </w:t>
      </w:r>
      <w:r>
        <w:rPr>
          <w:rFonts w:hint="eastAsia" w:ascii="宋体" w:hAnsi="宋体" w:eastAsia="宋体" w:cs="宋体"/>
          <w:i w:val="0"/>
          <w:iCs w:val="0"/>
          <w:caps w:val="0"/>
          <w:color w:val="auto"/>
          <w:spacing w:val="0"/>
          <w:sz w:val="24"/>
          <w:szCs w:val="24"/>
          <w:shd w:val="clear" w:fill="FFFFFF"/>
        </w:rPr>
        <w:t>， 属于</w:t>
      </w:r>
      <w:r>
        <w:rPr>
          <w:rFonts w:hint="eastAsia" w:ascii="宋体" w:hAnsi="宋体" w:eastAsia="宋体" w:cs="宋体"/>
          <w:i w:val="0"/>
          <w:iCs w:val="0"/>
          <w:caps w:val="0"/>
          <w:color w:val="auto"/>
          <w:spacing w:val="0"/>
          <w:sz w:val="24"/>
          <w:szCs w:val="24"/>
          <w:u w:val="single"/>
          <w:shd w:val="clear" w:fill="FFFFFF"/>
        </w:rPr>
        <w:t> （采购文件中明确的所属行业 ）</w:t>
      </w:r>
      <w:r>
        <w:rPr>
          <w:rFonts w:hint="eastAsia" w:ascii="宋体" w:hAnsi="宋体" w:eastAsia="宋体" w:cs="宋体"/>
          <w:i w:val="0"/>
          <w:iCs w:val="0"/>
          <w:caps w:val="0"/>
          <w:color w:val="auto"/>
          <w:spacing w:val="0"/>
          <w:sz w:val="24"/>
          <w:szCs w:val="24"/>
          <w:shd w:val="clear" w:fill="FFFFFF"/>
        </w:rPr>
        <w:t>行业；制造商为</w:t>
      </w:r>
      <w:r>
        <w:rPr>
          <w:rFonts w:hint="eastAsia" w:ascii="宋体" w:hAnsi="宋体" w:eastAsia="宋体" w:cs="宋体"/>
          <w:i w:val="0"/>
          <w:iCs w:val="0"/>
          <w:caps w:val="0"/>
          <w:color w:val="auto"/>
          <w:spacing w:val="0"/>
          <w:sz w:val="24"/>
          <w:szCs w:val="24"/>
          <w:u w:val="single"/>
          <w:shd w:val="clear" w:fill="FFFFFF"/>
        </w:rPr>
        <w:t>（企业名称）</w:t>
      </w:r>
      <w:r>
        <w:rPr>
          <w:rFonts w:hint="eastAsia" w:ascii="宋体" w:hAnsi="宋体" w:eastAsia="宋体" w:cs="宋体"/>
          <w:i w:val="0"/>
          <w:iCs w:val="0"/>
          <w:caps w:val="0"/>
          <w:color w:val="auto"/>
          <w:spacing w:val="0"/>
          <w:sz w:val="24"/>
          <w:szCs w:val="24"/>
          <w:shd w:val="clear" w:fill="FFFFFF"/>
        </w:rPr>
        <w:t>，从业人员</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人，营业收入为</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万元，资产总额为</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万元，属于</w:t>
      </w:r>
      <w:r>
        <w:rPr>
          <w:rFonts w:hint="eastAsia" w:ascii="宋体" w:hAnsi="宋体" w:eastAsia="宋体" w:cs="宋体"/>
          <w:i w:val="0"/>
          <w:iCs w:val="0"/>
          <w:caps w:val="0"/>
          <w:color w:val="auto"/>
          <w:spacing w:val="0"/>
          <w:sz w:val="24"/>
          <w:szCs w:val="24"/>
          <w:u w:val="single"/>
          <w:shd w:val="clear" w:fill="FFFFFF"/>
        </w:rPr>
        <w:t>（中型企业、小型企业、微型企业）</w:t>
      </w: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以上企业，不属于大企业的分支机构，不存在控股股东为大企业的情形，也不存在与大企业的负责人为同一人的情形。</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本企业对上述声明内容的真实性负责。如有虚假，将依法承担相应责任。</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企业名称（盖章）：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日期：</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Style w:val="14"/>
          <w:rFonts w:hint="eastAsia" w:ascii="宋体" w:hAnsi="宋体" w:eastAsia="宋体" w:cs="宋体"/>
          <w:b/>
          <w:bCs/>
          <w:i w:val="0"/>
          <w:iCs w:val="0"/>
          <w:caps w:val="0"/>
          <w:color w:val="auto"/>
          <w:spacing w:val="0"/>
          <w:sz w:val="24"/>
          <w:szCs w:val="24"/>
          <w:shd w:val="clear" w:fill="FFFFFF"/>
        </w:rPr>
        <w:t>1、从业人员、营业收入、资产总额填报上一年度数据，无上一年度数据的新成立企业可不填报。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Style w:val="14"/>
          <w:rFonts w:hint="eastAsia" w:ascii="宋体" w:hAnsi="宋体" w:eastAsia="宋体" w:cs="宋体"/>
          <w:b/>
          <w:bCs/>
          <w:i w:val="0"/>
          <w:iCs w:val="0"/>
          <w:caps w:val="0"/>
          <w:color w:val="auto"/>
          <w:spacing w:val="0"/>
          <w:sz w:val="24"/>
          <w:szCs w:val="24"/>
          <w:shd w:val="clear" w:fill="FFFFFF"/>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Style w:val="14"/>
          <w:rFonts w:hint="eastAsia" w:ascii="宋体" w:hAnsi="宋体" w:eastAsia="宋体" w:cs="宋体"/>
          <w:b/>
          <w:bCs/>
          <w:i w:val="0"/>
          <w:iCs w:val="0"/>
          <w:caps w:val="0"/>
          <w:color w:val="auto"/>
          <w:spacing w:val="0"/>
          <w:sz w:val="24"/>
          <w:szCs w:val="24"/>
          <w:shd w:val="clear" w:fill="FFFFFF"/>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val="0"/>
          <w:color w:val="auto"/>
          <w:sz w:val="24"/>
          <w:szCs w:val="24"/>
        </w:rPr>
      </w:pPr>
      <w:r>
        <w:rPr>
          <w:rStyle w:val="14"/>
          <w:rFonts w:hint="eastAsia" w:ascii="宋体" w:hAnsi="宋体" w:eastAsia="宋体" w:cs="宋体"/>
          <w:b/>
          <w:bCs/>
          <w:i w:val="0"/>
          <w:iCs w:val="0"/>
          <w:caps w:val="0"/>
          <w:color w:val="auto"/>
          <w:spacing w:val="0"/>
          <w:sz w:val="24"/>
          <w:szCs w:val="24"/>
          <w:shd w:val="clear" w:fill="FFFFFF"/>
        </w:rPr>
        <w:t>中小企业声明函（工程、服务）</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本公司（联合体）郑重声明，根据《政府采购促进中小企业发展管理办法》（财库﹝2020﹞46 号）的规定，本公司（联合体）参加</w:t>
      </w:r>
      <w:r>
        <w:rPr>
          <w:rFonts w:hint="eastAsia" w:ascii="宋体" w:hAnsi="宋体" w:eastAsia="宋体" w:cs="宋体"/>
          <w:i w:val="0"/>
          <w:iCs w:val="0"/>
          <w:caps w:val="0"/>
          <w:color w:val="auto"/>
          <w:spacing w:val="0"/>
          <w:sz w:val="24"/>
          <w:szCs w:val="24"/>
          <w:u w:val="single"/>
          <w:shd w:val="clear" w:fill="FFFFFF"/>
        </w:rPr>
        <w:t>（单位名称）</w:t>
      </w:r>
      <w:r>
        <w:rPr>
          <w:rFonts w:hint="eastAsia" w:ascii="宋体" w:hAnsi="宋体" w:eastAsia="宋体" w:cs="宋体"/>
          <w:i w:val="0"/>
          <w:iCs w:val="0"/>
          <w:caps w:val="0"/>
          <w:color w:val="auto"/>
          <w:spacing w:val="0"/>
          <w:sz w:val="24"/>
          <w:szCs w:val="24"/>
          <w:shd w:val="clear" w:fill="FFFFFF"/>
        </w:rPr>
        <w:t>的</w:t>
      </w:r>
      <w:r>
        <w:rPr>
          <w:rFonts w:hint="eastAsia" w:ascii="宋体" w:hAnsi="宋体" w:eastAsia="宋体" w:cs="宋体"/>
          <w:i w:val="0"/>
          <w:iCs w:val="0"/>
          <w:caps w:val="0"/>
          <w:color w:val="auto"/>
          <w:spacing w:val="0"/>
          <w:sz w:val="24"/>
          <w:szCs w:val="24"/>
          <w:u w:val="single"/>
          <w:shd w:val="clear" w:fill="FFFFFF"/>
        </w:rPr>
        <w:t>（项目名称）</w:t>
      </w:r>
      <w:r>
        <w:rPr>
          <w:rFonts w:hint="eastAsia" w:ascii="宋体" w:hAnsi="宋体" w:eastAsia="宋体" w:cs="宋体"/>
          <w:i w:val="0"/>
          <w:iCs w:val="0"/>
          <w:caps w:val="0"/>
          <w:color w:val="auto"/>
          <w:spacing w:val="0"/>
          <w:sz w:val="24"/>
          <w:szCs w:val="24"/>
          <w:shd w:val="clear" w:fill="FFFFFF"/>
        </w:rPr>
        <w:t>采购活动，工程的施工单位全部为符合政策要求的中小企业（或者：服务全部由符合政策要求的中小企业承接）。相关企业（含联合体中的中小企业、签订分包意向协议的中小企业）的具体情况如下：</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w:t>
      </w:r>
      <w:r>
        <w:rPr>
          <w:rFonts w:hint="eastAsia" w:ascii="宋体" w:hAnsi="宋体" w:eastAsia="宋体" w:cs="宋体"/>
          <w:i w:val="0"/>
          <w:iCs w:val="0"/>
          <w:caps w:val="0"/>
          <w:color w:val="auto"/>
          <w:spacing w:val="0"/>
          <w:sz w:val="24"/>
          <w:szCs w:val="24"/>
          <w:u w:val="single"/>
          <w:shd w:val="clear" w:fill="FFFFFF"/>
        </w:rPr>
        <w:t> （标的名称）</w:t>
      </w:r>
      <w:r>
        <w:rPr>
          <w:rFonts w:hint="eastAsia" w:ascii="宋体" w:hAnsi="宋体" w:eastAsia="宋体" w:cs="宋体"/>
          <w:i w:val="0"/>
          <w:iCs w:val="0"/>
          <w:caps w:val="0"/>
          <w:color w:val="auto"/>
          <w:spacing w:val="0"/>
          <w:sz w:val="24"/>
          <w:szCs w:val="24"/>
          <w:shd w:val="clear" w:fill="FFFFFF"/>
        </w:rPr>
        <w:t>，属于</w:t>
      </w:r>
      <w:r>
        <w:rPr>
          <w:rFonts w:hint="eastAsia" w:ascii="宋体" w:hAnsi="宋体" w:eastAsia="宋体" w:cs="宋体"/>
          <w:i w:val="0"/>
          <w:iCs w:val="0"/>
          <w:caps w:val="0"/>
          <w:color w:val="auto"/>
          <w:spacing w:val="0"/>
          <w:sz w:val="24"/>
          <w:szCs w:val="24"/>
          <w:u w:val="single"/>
          <w:shd w:val="clear" w:fill="FFFFFF"/>
        </w:rPr>
        <w:t>（采购文件中明确的所属行业）</w:t>
      </w:r>
      <w:r>
        <w:rPr>
          <w:rFonts w:hint="eastAsia" w:ascii="宋体" w:hAnsi="宋体" w:eastAsia="宋体" w:cs="宋体"/>
          <w:i w:val="0"/>
          <w:iCs w:val="0"/>
          <w:caps w:val="0"/>
          <w:color w:val="auto"/>
          <w:spacing w:val="0"/>
          <w:sz w:val="24"/>
          <w:szCs w:val="24"/>
          <w:shd w:val="clear" w:fill="FFFFFF"/>
        </w:rPr>
        <w:t>；承建（承接）企业为</w:t>
      </w:r>
      <w:r>
        <w:rPr>
          <w:rFonts w:hint="eastAsia" w:ascii="宋体" w:hAnsi="宋体" w:eastAsia="宋体" w:cs="宋体"/>
          <w:i w:val="0"/>
          <w:iCs w:val="0"/>
          <w:caps w:val="0"/>
          <w:color w:val="auto"/>
          <w:spacing w:val="0"/>
          <w:sz w:val="24"/>
          <w:szCs w:val="24"/>
          <w:u w:val="single"/>
          <w:shd w:val="clear" w:fill="FFFFFF"/>
        </w:rPr>
        <w:t>（企业名称）</w:t>
      </w:r>
      <w:r>
        <w:rPr>
          <w:rFonts w:hint="eastAsia" w:ascii="宋体" w:hAnsi="宋体" w:eastAsia="宋体" w:cs="宋体"/>
          <w:i w:val="0"/>
          <w:iCs w:val="0"/>
          <w:caps w:val="0"/>
          <w:color w:val="auto"/>
          <w:spacing w:val="0"/>
          <w:sz w:val="24"/>
          <w:szCs w:val="24"/>
          <w:shd w:val="clear" w:fill="FFFFFF"/>
        </w:rPr>
        <w:t>，从业人员</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人，营业收入为</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万元，资产总额为</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万元</w:t>
      </w:r>
      <w:r>
        <w:rPr>
          <w:rFonts w:hint="eastAsia" w:ascii="宋体" w:hAnsi="宋体" w:eastAsia="宋体" w:cs="宋体"/>
          <w:i w:val="0"/>
          <w:iCs w:val="0"/>
          <w:caps w:val="0"/>
          <w:color w:val="auto"/>
          <w:spacing w:val="0"/>
          <w:sz w:val="24"/>
          <w:szCs w:val="24"/>
          <w:shd w:val="clear" w:fill="FFFFFF"/>
          <w:vertAlign w:val="superscript"/>
        </w:rPr>
        <w:t>1</w:t>
      </w:r>
      <w:r>
        <w:rPr>
          <w:rFonts w:hint="eastAsia" w:ascii="宋体" w:hAnsi="宋体" w:eastAsia="宋体" w:cs="宋体"/>
          <w:i w:val="0"/>
          <w:iCs w:val="0"/>
          <w:caps w:val="0"/>
          <w:color w:val="auto"/>
          <w:spacing w:val="0"/>
          <w:sz w:val="24"/>
          <w:szCs w:val="24"/>
          <w:shd w:val="clear" w:fill="FFFFFF"/>
        </w:rPr>
        <w:t>，属于</w:t>
      </w:r>
      <w:r>
        <w:rPr>
          <w:rFonts w:hint="eastAsia" w:ascii="宋体" w:hAnsi="宋体" w:eastAsia="宋体" w:cs="宋体"/>
          <w:i w:val="0"/>
          <w:iCs w:val="0"/>
          <w:caps w:val="0"/>
          <w:color w:val="auto"/>
          <w:spacing w:val="0"/>
          <w:sz w:val="24"/>
          <w:szCs w:val="24"/>
          <w:u w:val="single"/>
          <w:shd w:val="clear" w:fill="FFFFFF"/>
        </w:rPr>
        <w:t>（中型企业、小型企业、微型企业）</w:t>
      </w:r>
      <w:r>
        <w:rPr>
          <w:rFonts w:hint="eastAsia" w:ascii="宋体" w:hAnsi="宋体" w:eastAsia="宋体" w:cs="宋体"/>
          <w:i w:val="0"/>
          <w:iCs w:val="0"/>
          <w:caps w:val="0"/>
          <w:color w:val="auto"/>
          <w:spacing w:val="0"/>
          <w:sz w:val="24"/>
          <w:szCs w:val="24"/>
          <w:shd w:val="clear" w:fill="FFFFFF"/>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2.</w:t>
      </w:r>
      <w:r>
        <w:rPr>
          <w:rFonts w:hint="eastAsia" w:ascii="宋体" w:hAnsi="宋体" w:eastAsia="宋体" w:cs="宋体"/>
          <w:i w:val="0"/>
          <w:iCs w:val="0"/>
          <w:caps w:val="0"/>
          <w:color w:val="auto"/>
          <w:spacing w:val="0"/>
          <w:sz w:val="24"/>
          <w:szCs w:val="24"/>
          <w:u w:val="single"/>
          <w:shd w:val="clear" w:fill="FFFFFF"/>
        </w:rPr>
        <w:t> （标的名称）</w:t>
      </w:r>
      <w:r>
        <w:rPr>
          <w:rFonts w:hint="eastAsia" w:ascii="宋体" w:hAnsi="宋体" w:eastAsia="宋体" w:cs="宋体"/>
          <w:i w:val="0"/>
          <w:iCs w:val="0"/>
          <w:caps w:val="0"/>
          <w:color w:val="auto"/>
          <w:spacing w:val="0"/>
          <w:sz w:val="24"/>
          <w:szCs w:val="24"/>
          <w:shd w:val="clear" w:fill="FFFFFF"/>
        </w:rPr>
        <w:t>，属于</w:t>
      </w:r>
      <w:r>
        <w:rPr>
          <w:rFonts w:hint="eastAsia" w:ascii="宋体" w:hAnsi="宋体" w:eastAsia="宋体" w:cs="宋体"/>
          <w:i w:val="0"/>
          <w:iCs w:val="0"/>
          <w:caps w:val="0"/>
          <w:color w:val="auto"/>
          <w:spacing w:val="0"/>
          <w:sz w:val="24"/>
          <w:szCs w:val="24"/>
          <w:u w:val="single"/>
          <w:shd w:val="clear" w:fill="FFFFFF"/>
        </w:rPr>
        <w:t>（采购文件中明确的所属行业）</w:t>
      </w:r>
      <w:r>
        <w:rPr>
          <w:rFonts w:hint="eastAsia" w:ascii="宋体" w:hAnsi="宋体" w:eastAsia="宋体" w:cs="宋体"/>
          <w:i w:val="0"/>
          <w:iCs w:val="0"/>
          <w:caps w:val="0"/>
          <w:color w:val="auto"/>
          <w:spacing w:val="0"/>
          <w:sz w:val="24"/>
          <w:szCs w:val="24"/>
          <w:shd w:val="clear" w:fill="FFFFFF"/>
        </w:rPr>
        <w:t>；承建（承接）企业为</w:t>
      </w:r>
      <w:r>
        <w:rPr>
          <w:rFonts w:hint="eastAsia" w:ascii="宋体" w:hAnsi="宋体" w:eastAsia="宋体" w:cs="宋体"/>
          <w:i w:val="0"/>
          <w:iCs w:val="0"/>
          <w:caps w:val="0"/>
          <w:color w:val="auto"/>
          <w:spacing w:val="0"/>
          <w:sz w:val="24"/>
          <w:szCs w:val="24"/>
          <w:u w:val="single"/>
          <w:shd w:val="clear" w:fill="FFFFFF"/>
        </w:rPr>
        <w:t>（企业名称）</w:t>
      </w:r>
      <w:r>
        <w:rPr>
          <w:rFonts w:hint="eastAsia" w:ascii="宋体" w:hAnsi="宋体" w:eastAsia="宋体" w:cs="宋体"/>
          <w:i w:val="0"/>
          <w:iCs w:val="0"/>
          <w:caps w:val="0"/>
          <w:color w:val="auto"/>
          <w:spacing w:val="0"/>
          <w:sz w:val="24"/>
          <w:szCs w:val="24"/>
          <w:shd w:val="clear" w:fill="FFFFFF"/>
        </w:rPr>
        <w:t>，从业人员</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人，营业收入为</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万元，资产总额为</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万元，属于</w:t>
      </w:r>
      <w:r>
        <w:rPr>
          <w:rFonts w:hint="eastAsia" w:ascii="宋体" w:hAnsi="宋体" w:eastAsia="宋体" w:cs="宋体"/>
          <w:i w:val="0"/>
          <w:iCs w:val="0"/>
          <w:caps w:val="0"/>
          <w:color w:val="auto"/>
          <w:spacing w:val="0"/>
          <w:sz w:val="24"/>
          <w:szCs w:val="24"/>
          <w:u w:val="single"/>
          <w:shd w:val="clear" w:fill="FFFFFF"/>
        </w:rPr>
        <w:t>（中型企业、小型企业、微型企业）</w:t>
      </w: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以上企业，不属于大企业的分支机构，不存在控股股东为大企业的情形，也不存在与大企业的负责人为同一人的情形。</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本企业对上述声明内容的真实性负责。如有虚假，将依法承担相应责任。</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企业名称（盖章）：   </w:t>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日期：</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Style w:val="14"/>
          <w:rFonts w:hint="eastAsia" w:ascii="宋体" w:hAnsi="宋体" w:eastAsia="宋体" w:cs="宋体"/>
          <w:b/>
          <w:bCs/>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Style w:val="14"/>
          <w:rFonts w:hint="eastAsia" w:ascii="宋体" w:hAnsi="宋体" w:eastAsia="宋体" w:cs="宋体"/>
          <w:b/>
          <w:bCs/>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Style w:val="14"/>
          <w:rFonts w:hint="eastAsia" w:ascii="宋体" w:hAnsi="宋体" w:eastAsia="宋体" w:cs="宋体"/>
          <w:b/>
          <w:bCs/>
          <w:i w:val="0"/>
          <w:iCs w:val="0"/>
          <w:caps w:val="0"/>
          <w:color w:val="auto"/>
          <w:spacing w:val="0"/>
          <w:sz w:val="24"/>
          <w:szCs w:val="24"/>
          <w:shd w:val="clear" w:fill="FFFFFF"/>
        </w:rPr>
        <w:t>1、从业人员、营业收入、资产总额填报上一年度数据，无上一年度数据的新成立企业可不填报。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Style w:val="14"/>
          <w:rFonts w:hint="eastAsia" w:ascii="宋体" w:hAnsi="宋体" w:eastAsia="宋体" w:cs="宋体"/>
          <w:b/>
          <w:bCs/>
          <w:i w:val="0"/>
          <w:iCs w:val="0"/>
          <w:caps w:val="0"/>
          <w:color w:val="auto"/>
          <w:spacing w:val="0"/>
          <w:sz w:val="24"/>
          <w:szCs w:val="24"/>
          <w:shd w:val="clear" w:fill="FFFFFF"/>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Style w:val="14"/>
          <w:rFonts w:hint="eastAsia" w:ascii="宋体" w:hAnsi="宋体" w:eastAsia="宋体" w:cs="宋体"/>
          <w:b/>
          <w:bCs/>
          <w:i w:val="0"/>
          <w:iCs w:val="0"/>
          <w:caps w:val="0"/>
          <w:color w:val="auto"/>
          <w:spacing w:val="0"/>
          <w:sz w:val="24"/>
          <w:szCs w:val="24"/>
          <w:shd w:val="clear" w:fill="FFFFFF"/>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Style w:val="14"/>
          <w:rFonts w:hint="eastAsia" w:ascii="宋体" w:hAnsi="宋体" w:eastAsia="宋体" w:cs="宋体"/>
          <w:b/>
          <w:bCs/>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br w:type="textWrapping"/>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Style w:val="14"/>
          <w:rFonts w:hint="eastAsia" w:ascii="宋体" w:hAnsi="宋体" w:eastAsia="宋体" w:cs="宋体"/>
          <w:b/>
          <w:bCs/>
          <w:i w:val="0"/>
          <w:iCs w:val="0"/>
          <w:caps w:val="0"/>
          <w:color w:val="auto"/>
          <w:spacing w:val="0"/>
          <w:sz w:val="24"/>
          <w:szCs w:val="24"/>
          <w:shd w:val="clear" w:fill="FFFFFF"/>
        </w:rPr>
        <w:t>三-2-②小型、微型企业等证明材料（价格扣除适用，若有）</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编制说明</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1、投标人应按照招标文件要求提供相应证明材料，证明材料应与《中小企业声明函》的内容相一致，否则视为《中小企业声明函》内容不真实。</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2、投标人为监狱企业的，根据其提供的由省级以上监狱管理局、戒毒管理局（含新疆生产建设兵团）出具的属于监狱企业的证明文件进行认定，监狱企业视同小型、微型企业。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3、投标人为残疾人福利性单位的，根据其提供的《残疾人福利性单位声明函》（格式附后）进行认定，残疾人福利性单位视同小型、微型企业。残疾人福利性单位属于小型、微型企业的，不重复享受政策。</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Style w:val="14"/>
          <w:rFonts w:hint="eastAsia" w:ascii="宋体" w:hAnsi="宋体" w:eastAsia="宋体" w:cs="宋体"/>
          <w:b/>
          <w:bCs/>
          <w:i w:val="0"/>
          <w:iCs w:val="0"/>
          <w:caps w:val="0"/>
          <w:color w:val="auto"/>
          <w:spacing w:val="0"/>
          <w:sz w:val="24"/>
          <w:szCs w:val="24"/>
          <w:shd w:val="clear" w:fill="FFFFFF"/>
        </w:rPr>
        <w:t>残疾人福利性单位声明函（价格扣除适用，若有）</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i w:val="0"/>
          <w:iCs w:val="0"/>
          <w:caps w:val="0"/>
          <w:color w:val="auto"/>
          <w:spacing w:val="0"/>
          <w:sz w:val="24"/>
          <w:szCs w:val="24"/>
          <w:u w:val="single"/>
          <w:shd w:val="clear" w:fill="FFFFFF"/>
        </w:rPr>
        <w:t>（填写“项目名称”）</w:t>
      </w:r>
      <w:r>
        <w:rPr>
          <w:rFonts w:hint="eastAsia" w:ascii="宋体" w:hAnsi="宋体" w:eastAsia="宋体" w:cs="宋体"/>
          <w:i w:val="0"/>
          <w:iCs w:val="0"/>
          <w:caps w:val="0"/>
          <w:color w:val="auto"/>
          <w:spacing w:val="0"/>
          <w:sz w:val="24"/>
          <w:szCs w:val="24"/>
          <w:shd w:val="clear" w:fill="FFFFFF"/>
        </w:rPr>
        <w:t>项目采购活动：</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）提供本投标人制造的</w:t>
      </w:r>
      <w:r>
        <w:rPr>
          <w:rFonts w:hint="eastAsia" w:ascii="宋体" w:hAnsi="宋体" w:eastAsia="宋体" w:cs="宋体"/>
          <w:i w:val="0"/>
          <w:iCs w:val="0"/>
          <w:caps w:val="0"/>
          <w:color w:val="auto"/>
          <w:spacing w:val="0"/>
          <w:sz w:val="24"/>
          <w:szCs w:val="24"/>
          <w:u w:val="single"/>
          <w:shd w:val="clear" w:fill="FFFFFF"/>
        </w:rPr>
        <w:t>（填写“所投采购包、品目号”）</w:t>
      </w:r>
      <w:r>
        <w:rPr>
          <w:rFonts w:hint="eastAsia" w:ascii="宋体" w:hAnsi="宋体" w:eastAsia="宋体" w:cs="宋体"/>
          <w:i w:val="0"/>
          <w:iCs w:val="0"/>
          <w:caps w:val="0"/>
          <w:color w:val="auto"/>
          <w:spacing w:val="0"/>
          <w:sz w:val="24"/>
          <w:szCs w:val="24"/>
          <w:shd w:val="clear" w:fill="FFFFFF"/>
        </w:rPr>
        <w:t>货物，或提供其他残疾人福利性单位制造的</w:t>
      </w:r>
      <w:r>
        <w:rPr>
          <w:rFonts w:hint="eastAsia" w:ascii="宋体" w:hAnsi="宋体" w:eastAsia="宋体" w:cs="宋体"/>
          <w:i w:val="0"/>
          <w:iCs w:val="0"/>
          <w:caps w:val="0"/>
          <w:color w:val="auto"/>
          <w:spacing w:val="0"/>
          <w:sz w:val="24"/>
          <w:szCs w:val="24"/>
          <w:u w:val="single"/>
          <w:shd w:val="clear" w:fill="FFFFFF"/>
        </w:rPr>
        <w:t>（填写“所投采购包、品目号”）</w:t>
      </w:r>
      <w:r>
        <w:rPr>
          <w:rFonts w:hint="eastAsia" w:ascii="宋体" w:hAnsi="宋体" w:eastAsia="宋体" w:cs="宋体"/>
          <w:i w:val="0"/>
          <w:iCs w:val="0"/>
          <w:caps w:val="0"/>
          <w:color w:val="auto"/>
          <w:spacing w:val="0"/>
          <w:sz w:val="24"/>
          <w:szCs w:val="24"/>
          <w:shd w:val="clear" w:fill="FFFFFF"/>
        </w:rPr>
        <w:t>货物（不包括使用非残疾人福利性单位注册商标的货物）。（说明：只有部分货物由残疾人福利企业制造的，在该货物后标★）</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）由本投标人承建的</w:t>
      </w:r>
      <w:r>
        <w:rPr>
          <w:rFonts w:hint="eastAsia" w:ascii="宋体" w:hAnsi="宋体" w:eastAsia="宋体" w:cs="宋体"/>
          <w:i w:val="0"/>
          <w:iCs w:val="0"/>
          <w:caps w:val="0"/>
          <w:color w:val="auto"/>
          <w:spacing w:val="0"/>
          <w:sz w:val="24"/>
          <w:szCs w:val="24"/>
          <w:u w:val="single"/>
          <w:shd w:val="clear" w:fill="FFFFFF"/>
        </w:rPr>
        <w:t>（填写“所投采购包、品目号”）</w:t>
      </w:r>
      <w:r>
        <w:rPr>
          <w:rFonts w:hint="eastAsia" w:ascii="宋体" w:hAnsi="宋体" w:eastAsia="宋体" w:cs="宋体"/>
          <w:i w:val="0"/>
          <w:iCs w:val="0"/>
          <w:caps w:val="0"/>
          <w:color w:val="auto"/>
          <w:spacing w:val="0"/>
          <w:sz w:val="24"/>
          <w:szCs w:val="24"/>
          <w:shd w:val="clear" w:fill="FFFFFF"/>
        </w:rPr>
        <w:t>工程</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）由本投标人承接的</w:t>
      </w:r>
      <w:r>
        <w:rPr>
          <w:rFonts w:hint="eastAsia" w:ascii="宋体" w:hAnsi="宋体" w:eastAsia="宋体" w:cs="宋体"/>
          <w:i w:val="0"/>
          <w:iCs w:val="0"/>
          <w:caps w:val="0"/>
          <w:color w:val="auto"/>
          <w:spacing w:val="0"/>
          <w:sz w:val="24"/>
          <w:szCs w:val="24"/>
          <w:u w:val="single"/>
          <w:shd w:val="clear" w:fill="FFFFFF"/>
        </w:rPr>
        <w:t>（填写“所投采购包、品目号”）</w:t>
      </w:r>
      <w:r>
        <w:rPr>
          <w:rFonts w:hint="eastAsia" w:ascii="宋体" w:hAnsi="宋体" w:eastAsia="宋体" w:cs="宋体"/>
          <w:i w:val="0"/>
          <w:iCs w:val="0"/>
          <w:caps w:val="0"/>
          <w:color w:val="auto"/>
          <w:spacing w:val="0"/>
          <w:sz w:val="24"/>
          <w:szCs w:val="24"/>
          <w:shd w:val="clear" w:fill="FFFFFF"/>
        </w:rPr>
        <w:t>服务；</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本投标人对上述声明的真实性负责。如有虚假，将依法承担相应责任。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备注：</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1、请投标人按照实际情况编制填写本声明函，并在相应的（）中打“√”。</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2、若《残疾人福利性单位声明函》内容不真实，</w:t>
      </w:r>
      <w:r>
        <w:rPr>
          <w:rStyle w:val="14"/>
          <w:rFonts w:hint="eastAsia" w:ascii="宋体" w:hAnsi="宋体" w:eastAsia="宋体" w:cs="宋体"/>
          <w:b/>
          <w:bCs/>
          <w:i w:val="0"/>
          <w:iCs w:val="0"/>
          <w:caps w:val="0"/>
          <w:color w:val="auto"/>
          <w:spacing w:val="0"/>
          <w:sz w:val="24"/>
          <w:szCs w:val="24"/>
          <w:shd w:val="clear" w:fill="FFFFFF"/>
        </w:rPr>
        <w:t>视为提供虚假材料。</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投标人：</w:t>
      </w:r>
      <w:r>
        <w:rPr>
          <w:rFonts w:hint="eastAsia" w:ascii="宋体" w:hAnsi="宋体" w:eastAsia="宋体" w:cs="宋体"/>
          <w:i w:val="0"/>
          <w:iCs w:val="0"/>
          <w:caps w:val="0"/>
          <w:color w:val="auto"/>
          <w:spacing w:val="0"/>
          <w:sz w:val="24"/>
          <w:szCs w:val="24"/>
          <w:u w:val="single"/>
          <w:shd w:val="clear" w:fill="FFFFFF"/>
        </w:rPr>
        <w:t>（全称并加盖单位公章）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日期：</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年</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auto"/>
          <w:sz w:val="24"/>
          <w:szCs w:val="24"/>
        </w:rPr>
      </w:pPr>
      <w:r>
        <w:rPr>
          <w:rStyle w:val="14"/>
          <w:rFonts w:hint="eastAsia" w:ascii="宋体" w:hAnsi="宋体" w:eastAsia="宋体" w:cs="宋体"/>
          <w:b/>
          <w:bCs/>
          <w:i w:val="0"/>
          <w:iCs w:val="0"/>
          <w:caps w:val="0"/>
          <w:color w:val="auto"/>
          <w:spacing w:val="0"/>
          <w:sz w:val="24"/>
          <w:szCs w:val="24"/>
          <w:shd w:val="clear" w:fill="FFFFFF"/>
        </w:rPr>
        <w:t>监狱企业证明材料</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投标人为监狱企业，提供本单位制造的货物（承接的服务），并在投标文件中提供省级以上监狱管理局、戒毒管理局（含新疆生产建设兵团）出具的属于监狱企业的证明文件。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br w:type="textWrapping"/>
      </w:r>
      <w:r>
        <w:rPr>
          <w:rStyle w:val="14"/>
          <w:rFonts w:hint="eastAsia" w:ascii="宋体" w:hAnsi="宋体" w:eastAsia="宋体" w:cs="宋体"/>
          <w:b/>
          <w:bCs/>
          <w:i w:val="0"/>
          <w:iCs w:val="0"/>
          <w:caps w:val="0"/>
          <w:color w:val="auto"/>
          <w:spacing w:val="0"/>
          <w:sz w:val="24"/>
          <w:szCs w:val="24"/>
          <w:shd w:val="clear" w:fill="FFFFFF"/>
        </w:rPr>
        <w:t>三-3招标文件规定的其他价格扣除证明材料（若有）</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编制说明</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若投标人可享受招标文件规定的除</w:t>
      </w:r>
      <w:r>
        <w:rPr>
          <w:rStyle w:val="14"/>
          <w:rFonts w:hint="eastAsia" w:ascii="宋体" w:hAnsi="宋体" w:eastAsia="宋体" w:cs="宋体"/>
          <w:b/>
          <w:bCs/>
          <w:i w:val="0"/>
          <w:iCs w:val="0"/>
          <w:caps w:val="0"/>
          <w:color w:val="auto"/>
          <w:spacing w:val="0"/>
          <w:sz w:val="24"/>
          <w:szCs w:val="24"/>
          <w:shd w:val="clear" w:fill="FFFFFF"/>
        </w:rPr>
        <w:t>“节能（非强制类）、环境标志产品价格扣除”及“小型、微型企业产品等价格扣除”</w:t>
      </w:r>
      <w:r>
        <w:rPr>
          <w:rFonts w:hint="eastAsia" w:ascii="宋体" w:hAnsi="宋体" w:eastAsia="宋体" w:cs="宋体"/>
          <w:i w:val="0"/>
          <w:iCs w:val="0"/>
          <w:caps w:val="0"/>
          <w:color w:val="auto"/>
          <w:spacing w:val="0"/>
          <w:sz w:val="24"/>
          <w:szCs w:val="24"/>
          <w:shd w:val="clear" w:fill="FFFFFF"/>
        </w:rPr>
        <w:t>外的其他价格扣除优惠，则投标人应按照招标文件要求提供相应证明材料。</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Style w:val="14"/>
          <w:rFonts w:hint="eastAsia" w:ascii="宋体" w:hAnsi="宋体" w:eastAsia="宋体" w:cs="宋体"/>
          <w:b/>
          <w:bCs/>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Style w:val="14"/>
          <w:rFonts w:hint="eastAsia" w:ascii="宋体" w:hAnsi="宋体" w:eastAsia="宋体" w:cs="宋体"/>
          <w:b/>
          <w:bCs/>
          <w:i w:val="0"/>
          <w:iCs w:val="0"/>
          <w:caps w:val="0"/>
          <w:color w:val="auto"/>
          <w:spacing w:val="0"/>
          <w:sz w:val="24"/>
          <w:szCs w:val="24"/>
          <w:shd w:val="clear" w:fill="FFFFFF"/>
        </w:rPr>
        <w:t>四、招标文件规定的加分证明材料（若有）</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Style w:val="14"/>
          <w:rFonts w:hint="eastAsia" w:ascii="宋体" w:hAnsi="宋体" w:eastAsia="宋体" w:cs="宋体"/>
          <w:b/>
          <w:bCs/>
          <w:i w:val="0"/>
          <w:iCs w:val="0"/>
          <w:caps w:val="0"/>
          <w:color w:val="auto"/>
          <w:spacing w:val="0"/>
          <w:sz w:val="24"/>
          <w:szCs w:val="24"/>
          <w:shd w:val="clear" w:fill="FFFFFF"/>
        </w:rPr>
        <w:t>四-1优先类节能产品、环境标志产品加分证明材料（若有）</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Style w:val="14"/>
          <w:rFonts w:hint="eastAsia" w:ascii="宋体" w:hAnsi="宋体" w:eastAsia="宋体" w:cs="宋体"/>
          <w:b/>
          <w:bCs/>
          <w:i w:val="0"/>
          <w:iCs w:val="0"/>
          <w:caps w:val="0"/>
          <w:color w:val="auto"/>
          <w:spacing w:val="0"/>
          <w:sz w:val="24"/>
          <w:szCs w:val="24"/>
          <w:shd w:val="clear" w:fill="FFFFFF"/>
        </w:rPr>
        <w:t>四-1-①优先类节能产品、环境标志产品统计表（加分适用，若有）</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项目编号：</w:t>
      </w:r>
      <w:r>
        <w:rPr>
          <w:rFonts w:hint="eastAsia" w:ascii="宋体" w:hAnsi="宋体" w:eastAsia="宋体" w:cs="宋体"/>
          <w:i w:val="0"/>
          <w:iCs w:val="0"/>
          <w:caps w:val="0"/>
          <w:color w:val="auto"/>
          <w:spacing w:val="0"/>
          <w:sz w:val="24"/>
          <w:szCs w:val="24"/>
          <w:u w:val="single"/>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货币及单位：人民币元</w:t>
      </w:r>
    </w:p>
    <w:tbl>
      <w:tblPr>
        <w:tblStyle w:val="11"/>
        <w:tblW w:w="9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215"/>
        <w:gridCol w:w="1215"/>
        <w:gridCol w:w="1215"/>
        <w:gridCol w:w="1305"/>
        <w:gridCol w:w="1395"/>
        <w:gridCol w:w="1575"/>
        <w:gridCol w:w="1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121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c>
          <w:tcPr>
            <w:tcW w:w="8339" w:type="dxa"/>
            <w:gridSpan w:val="6"/>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本采购包内属于节能、环境标志产品的情况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1215"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w:t>
            </w:r>
          </w:p>
        </w:tc>
        <w:tc>
          <w:tcPr>
            <w:tcW w:w="1215"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品目号</w:t>
            </w:r>
          </w:p>
        </w:tc>
        <w:tc>
          <w:tcPr>
            <w:tcW w:w="1215"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货物名称</w:t>
            </w:r>
          </w:p>
        </w:tc>
        <w:tc>
          <w:tcPr>
            <w:tcW w:w="1305"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单价</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（现场）</w:t>
            </w:r>
          </w:p>
        </w:tc>
        <w:tc>
          <w:tcPr>
            <w:tcW w:w="1395"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575"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总价</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（现场）</w:t>
            </w:r>
          </w:p>
        </w:tc>
        <w:tc>
          <w:tcPr>
            <w:tcW w:w="1634"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1215" w:type="dxa"/>
            <w:vMerge w:val="restart"/>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215"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21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color w:val="auto"/>
                <w:sz w:val="24"/>
                <w:szCs w:val="24"/>
              </w:rPr>
            </w:pPr>
          </w:p>
        </w:tc>
        <w:tc>
          <w:tcPr>
            <w:tcW w:w="130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color w:val="auto"/>
                <w:sz w:val="24"/>
                <w:szCs w:val="24"/>
              </w:rPr>
            </w:pPr>
          </w:p>
        </w:tc>
        <w:tc>
          <w:tcPr>
            <w:tcW w:w="139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color w:val="auto"/>
                <w:sz w:val="24"/>
                <w:szCs w:val="24"/>
              </w:rPr>
            </w:pPr>
          </w:p>
        </w:tc>
        <w:tc>
          <w:tcPr>
            <w:tcW w:w="157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color w:val="auto"/>
                <w:sz w:val="24"/>
                <w:szCs w:val="24"/>
              </w:rPr>
            </w:pPr>
          </w:p>
        </w:tc>
        <w:tc>
          <w:tcPr>
            <w:tcW w:w="1634"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215"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0" w:after="0" w:line="400" w:lineRule="exact"/>
              <w:ind w:left="0" w:right="0"/>
              <w:jc w:val="center"/>
              <w:textAlignment w:val="auto"/>
              <w:rPr>
                <w:rFonts w:hint="eastAsia" w:ascii="宋体" w:hAnsi="宋体" w:eastAsia="宋体" w:cs="宋体"/>
                <w:color w:val="auto"/>
                <w:sz w:val="24"/>
                <w:szCs w:val="24"/>
              </w:rPr>
            </w:pPr>
          </w:p>
        </w:tc>
        <w:tc>
          <w:tcPr>
            <w:tcW w:w="1215"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21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color w:val="auto"/>
                <w:sz w:val="24"/>
                <w:szCs w:val="24"/>
              </w:rPr>
            </w:pPr>
          </w:p>
        </w:tc>
        <w:tc>
          <w:tcPr>
            <w:tcW w:w="130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color w:val="auto"/>
                <w:sz w:val="24"/>
                <w:szCs w:val="24"/>
              </w:rPr>
            </w:pPr>
          </w:p>
        </w:tc>
        <w:tc>
          <w:tcPr>
            <w:tcW w:w="139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color w:val="auto"/>
                <w:sz w:val="24"/>
                <w:szCs w:val="24"/>
              </w:rPr>
            </w:pPr>
          </w:p>
        </w:tc>
        <w:tc>
          <w:tcPr>
            <w:tcW w:w="157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color w:val="auto"/>
                <w:sz w:val="24"/>
                <w:szCs w:val="24"/>
              </w:rPr>
            </w:pPr>
          </w:p>
        </w:tc>
        <w:tc>
          <w:tcPr>
            <w:tcW w:w="1634"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215"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8339" w:type="dxa"/>
            <w:gridSpan w:val="6"/>
            <w:shd w:val="clear" w:color="auto" w:fill="auto"/>
            <w:tcMar>
              <w:top w:w="0" w:type="dxa"/>
              <w:left w:w="105" w:type="dxa"/>
              <w:bottom w:w="0" w:type="dxa"/>
              <w:right w:w="105" w:type="dxa"/>
            </w:tcMar>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a.采购包内属于节能、环境标志产品的报价总金额：</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b.采购包投标总价（报价总金额）：</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c.“采购包内属于节能、环境标志产品的报价总金额”占“采购包投标总价（报价总金额）”的比例（以%列示）：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tc>
      </w:tr>
    </w:tbl>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※注意：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1、对节能、环境标志产品计算加分时，只依据投标文件</w:t>
      </w:r>
      <w:r>
        <w:rPr>
          <w:rStyle w:val="14"/>
          <w:rFonts w:hint="eastAsia" w:ascii="宋体" w:hAnsi="宋体" w:eastAsia="宋体" w:cs="宋体"/>
          <w:b/>
          <w:bCs/>
          <w:i w:val="0"/>
          <w:iCs w:val="0"/>
          <w:caps w:val="0"/>
          <w:color w:val="auto"/>
          <w:spacing w:val="0"/>
          <w:sz w:val="24"/>
          <w:szCs w:val="24"/>
          <w:shd w:val="clear" w:fill="FFFFFF"/>
        </w:rPr>
        <w:t>“四-1-②优先类节能产品、环境标志产品加分证明材料（加分适用，若有）”。</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2、本表以采购包为单位，不同采购包请分别填写；同一采购包请按照其品目号顺序分别填写。</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3、具体统计、计算：</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3.1 若节能、环境标志产品仅是构成投标产品的部件、组件或零件，则该投标产品不享受鼓励优惠政策。同一品目中各认证证书不重复计算加分。强制类节能产品不享受加分。</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3.2计算结果若除不尽，可四舍五入保留到小数点后两位。</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3.3投标人应按照招标文件要求认真统计、计算，否则评标委员会不予认定。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3.4若无节能、环境标志产品，不填写本表，否则，</w:t>
      </w:r>
      <w:r>
        <w:rPr>
          <w:rStyle w:val="14"/>
          <w:rFonts w:hint="eastAsia" w:ascii="宋体" w:hAnsi="宋体" w:eastAsia="宋体" w:cs="宋体"/>
          <w:b/>
          <w:bCs/>
          <w:i w:val="0"/>
          <w:iCs w:val="0"/>
          <w:caps w:val="0"/>
          <w:color w:val="auto"/>
          <w:spacing w:val="0"/>
          <w:sz w:val="24"/>
          <w:szCs w:val="24"/>
          <w:shd w:val="clear" w:fill="FFFFFF"/>
        </w:rPr>
        <w:t>视为提供虚假材料</w:t>
      </w:r>
      <w:r>
        <w:rPr>
          <w:rFonts w:hint="eastAsia" w:ascii="宋体" w:hAnsi="宋体" w:eastAsia="宋体" w:cs="宋体"/>
          <w:i w:val="0"/>
          <w:iCs w:val="0"/>
          <w:caps w:val="0"/>
          <w:color w:val="auto"/>
          <w:spacing w:val="0"/>
          <w:sz w:val="24"/>
          <w:szCs w:val="24"/>
          <w:shd w:val="clear" w:fill="FFFFFF"/>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投标人：</w:t>
      </w:r>
      <w:r>
        <w:rPr>
          <w:rFonts w:hint="eastAsia" w:ascii="宋体" w:hAnsi="宋体" w:eastAsia="宋体" w:cs="宋体"/>
          <w:i w:val="0"/>
          <w:iCs w:val="0"/>
          <w:caps w:val="0"/>
          <w:color w:val="auto"/>
          <w:spacing w:val="0"/>
          <w:sz w:val="24"/>
          <w:szCs w:val="24"/>
          <w:u w:val="single"/>
          <w:shd w:val="clear" w:fill="FFFFFF"/>
        </w:rPr>
        <w:t>（全称并加盖单位公章）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日期：</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年</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Style w:val="14"/>
          <w:rFonts w:hint="eastAsia" w:ascii="宋体" w:hAnsi="宋体" w:eastAsia="宋体" w:cs="宋体"/>
          <w:b/>
          <w:bCs/>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Style w:val="14"/>
          <w:rFonts w:hint="eastAsia" w:ascii="宋体" w:hAnsi="宋体" w:eastAsia="宋体" w:cs="宋体"/>
          <w:b/>
          <w:bCs/>
          <w:i w:val="0"/>
          <w:iCs w:val="0"/>
          <w:caps w:val="0"/>
          <w:color w:val="auto"/>
          <w:spacing w:val="0"/>
          <w:sz w:val="24"/>
          <w:szCs w:val="24"/>
          <w:shd w:val="clear" w:fill="FFFFFF"/>
        </w:rPr>
        <w:t>四-1-②优先类节能产品、环境标志产品证明材料（加分适用，若有）</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四</w:t>
      </w:r>
      <w:r>
        <w:rPr>
          <w:rStyle w:val="14"/>
          <w:rFonts w:hint="eastAsia" w:ascii="宋体" w:hAnsi="宋体" w:eastAsia="宋体" w:cs="宋体"/>
          <w:b/>
          <w:bCs/>
          <w:i w:val="0"/>
          <w:iCs w:val="0"/>
          <w:caps w:val="0"/>
          <w:color w:val="auto"/>
          <w:spacing w:val="0"/>
          <w:sz w:val="24"/>
          <w:szCs w:val="24"/>
          <w:shd w:val="clear" w:fill="FFFFFF"/>
        </w:rPr>
        <w:t>-2招标文件规定的其他加分证明材料（若有）</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编制说明</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若投标人可享受招标文件规定的除</w:t>
      </w:r>
      <w:r>
        <w:rPr>
          <w:rStyle w:val="14"/>
          <w:rFonts w:hint="eastAsia" w:ascii="宋体" w:hAnsi="宋体" w:eastAsia="宋体" w:cs="宋体"/>
          <w:b/>
          <w:bCs/>
          <w:i w:val="0"/>
          <w:iCs w:val="0"/>
          <w:caps w:val="0"/>
          <w:color w:val="auto"/>
          <w:spacing w:val="0"/>
          <w:sz w:val="24"/>
          <w:szCs w:val="24"/>
          <w:shd w:val="clear" w:fill="FFFFFF"/>
        </w:rPr>
        <w:t>“优先类节能产品、环境标志产品加分”</w:t>
      </w:r>
      <w:r>
        <w:rPr>
          <w:rFonts w:hint="eastAsia" w:ascii="宋体" w:hAnsi="宋体" w:eastAsia="宋体" w:cs="宋体"/>
          <w:i w:val="0"/>
          <w:iCs w:val="0"/>
          <w:caps w:val="0"/>
          <w:color w:val="auto"/>
          <w:spacing w:val="0"/>
          <w:sz w:val="24"/>
          <w:szCs w:val="24"/>
          <w:shd w:val="clear" w:fill="FFFFFF"/>
        </w:rPr>
        <w:t>外的其他加分优惠，则投标人应按照招标文件要求提供相应证明材料。</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32"/>
          <w:szCs w:val="32"/>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32"/>
          <w:szCs w:val="32"/>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32"/>
          <w:szCs w:val="32"/>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32"/>
          <w:szCs w:val="32"/>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32"/>
          <w:szCs w:val="32"/>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32"/>
          <w:szCs w:val="32"/>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32"/>
          <w:szCs w:val="32"/>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32"/>
          <w:szCs w:val="32"/>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32"/>
          <w:szCs w:val="32"/>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32"/>
          <w:szCs w:val="32"/>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32"/>
          <w:szCs w:val="32"/>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32"/>
          <w:szCs w:val="32"/>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32"/>
          <w:szCs w:val="32"/>
        </w:rPr>
      </w:pPr>
      <w:r>
        <w:rPr>
          <w:rStyle w:val="14"/>
          <w:rFonts w:hint="eastAsia" w:ascii="宋体" w:hAnsi="宋体" w:eastAsia="宋体" w:cs="宋体"/>
          <w:b/>
          <w:bCs/>
          <w:i w:val="0"/>
          <w:iCs w:val="0"/>
          <w:caps w:val="0"/>
          <w:color w:val="auto"/>
          <w:spacing w:val="0"/>
          <w:sz w:val="32"/>
          <w:szCs w:val="32"/>
          <w:shd w:val="clear" w:fill="FFFFFF"/>
        </w:rPr>
        <w:t>封面格式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72"/>
          <w:szCs w:val="72"/>
        </w:rPr>
      </w:pPr>
      <w:r>
        <w:rPr>
          <w:rStyle w:val="14"/>
          <w:rFonts w:hint="eastAsia" w:ascii="宋体" w:hAnsi="宋体" w:eastAsia="宋体" w:cs="宋体"/>
          <w:b/>
          <w:bCs/>
          <w:i w:val="0"/>
          <w:iCs w:val="0"/>
          <w:caps w:val="0"/>
          <w:color w:val="auto"/>
          <w:spacing w:val="0"/>
          <w:sz w:val="72"/>
          <w:szCs w:val="72"/>
          <w:shd w:val="clear" w:fill="FFFFFF"/>
        </w:rPr>
        <w:t>福建省政府采购投标文件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72"/>
          <w:szCs w:val="72"/>
        </w:rPr>
      </w:pPr>
      <w:r>
        <w:rPr>
          <w:rStyle w:val="14"/>
          <w:rFonts w:hint="eastAsia" w:ascii="宋体" w:hAnsi="宋体" w:eastAsia="宋体" w:cs="宋体"/>
          <w:b/>
          <w:bCs/>
          <w:i w:val="0"/>
          <w:iCs w:val="0"/>
          <w:caps w:val="0"/>
          <w:color w:val="auto"/>
          <w:spacing w:val="0"/>
          <w:sz w:val="72"/>
          <w:szCs w:val="72"/>
          <w:shd w:val="clear" w:fill="FFFFFF"/>
        </w:rPr>
        <w:t>（技术商务部分）</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24"/>
          <w:szCs w:val="24"/>
          <w:u w:val="single"/>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24"/>
          <w:szCs w:val="24"/>
          <w:u w:val="single"/>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32"/>
          <w:szCs w:val="32"/>
        </w:rPr>
      </w:pPr>
      <w:r>
        <w:rPr>
          <w:rStyle w:val="14"/>
          <w:rFonts w:hint="eastAsia" w:ascii="宋体" w:hAnsi="宋体" w:eastAsia="宋体" w:cs="宋体"/>
          <w:b/>
          <w:bCs/>
          <w:i w:val="0"/>
          <w:iCs w:val="0"/>
          <w:caps w:val="0"/>
          <w:color w:val="auto"/>
          <w:spacing w:val="0"/>
          <w:sz w:val="32"/>
          <w:szCs w:val="32"/>
          <w:u w:val="single"/>
          <w:shd w:val="clear" w:fill="FFFFFF"/>
        </w:rPr>
        <w:t>（填写正本或副本）</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32"/>
          <w:szCs w:val="32"/>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32"/>
          <w:szCs w:val="32"/>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宋体" w:hAnsi="宋体" w:eastAsia="宋体" w:cs="宋体"/>
          <w:color w:val="auto"/>
          <w:sz w:val="32"/>
          <w:szCs w:val="32"/>
        </w:rPr>
      </w:pPr>
      <w:r>
        <w:rPr>
          <w:rStyle w:val="14"/>
          <w:rFonts w:hint="eastAsia" w:ascii="宋体" w:hAnsi="宋体" w:eastAsia="宋体" w:cs="宋体"/>
          <w:b/>
          <w:bCs/>
          <w:i w:val="0"/>
          <w:iCs w:val="0"/>
          <w:caps w:val="0"/>
          <w:color w:val="auto"/>
          <w:spacing w:val="0"/>
          <w:sz w:val="32"/>
          <w:szCs w:val="32"/>
          <w:shd w:val="clear" w:fill="FFFFFF"/>
        </w:rPr>
        <w:t>项目名称：</w:t>
      </w:r>
      <w:r>
        <w:rPr>
          <w:rStyle w:val="14"/>
          <w:rFonts w:hint="eastAsia" w:ascii="宋体" w:hAnsi="宋体" w:eastAsia="宋体" w:cs="宋体"/>
          <w:b/>
          <w:bCs/>
          <w:i w:val="0"/>
          <w:iCs w:val="0"/>
          <w:caps w:val="0"/>
          <w:color w:val="auto"/>
          <w:spacing w:val="0"/>
          <w:sz w:val="32"/>
          <w:szCs w:val="32"/>
          <w:u w:val="single"/>
          <w:shd w:val="clear" w:fill="FFFFFF"/>
        </w:rPr>
        <w:t>（由投标人填写）</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宋体" w:hAnsi="宋体" w:eastAsia="宋体" w:cs="宋体"/>
          <w:color w:val="auto"/>
          <w:sz w:val="32"/>
          <w:szCs w:val="32"/>
        </w:rPr>
      </w:pPr>
      <w:r>
        <w:rPr>
          <w:rStyle w:val="14"/>
          <w:rFonts w:hint="eastAsia" w:ascii="宋体" w:hAnsi="宋体" w:eastAsia="宋体" w:cs="宋体"/>
          <w:b/>
          <w:bCs/>
          <w:i w:val="0"/>
          <w:iCs w:val="0"/>
          <w:caps w:val="0"/>
          <w:color w:val="auto"/>
          <w:spacing w:val="0"/>
          <w:sz w:val="32"/>
          <w:szCs w:val="32"/>
          <w:shd w:val="clear" w:fill="FFFFFF"/>
        </w:rPr>
        <w:t>备案编号：</w:t>
      </w:r>
      <w:r>
        <w:rPr>
          <w:rStyle w:val="14"/>
          <w:rFonts w:hint="eastAsia" w:ascii="宋体" w:hAnsi="宋体" w:eastAsia="宋体" w:cs="宋体"/>
          <w:b/>
          <w:bCs/>
          <w:i w:val="0"/>
          <w:iCs w:val="0"/>
          <w:caps w:val="0"/>
          <w:color w:val="auto"/>
          <w:spacing w:val="0"/>
          <w:sz w:val="32"/>
          <w:szCs w:val="32"/>
          <w:u w:val="single"/>
          <w:shd w:val="clear" w:fill="FFFFFF"/>
        </w:rPr>
        <w:t>（由投标人填写）</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宋体" w:hAnsi="宋体" w:eastAsia="宋体" w:cs="宋体"/>
          <w:color w:val="auto"/>
          <w:sz w:val="32"/>
          <w:szCs w:val="32"/>
        </w:rPr>
      </w:pPr>
      <w:r>
        <w:rPr>
          <w:rStyle w:val="14"/>
          <w:rFonts w:hint="eastAsia" w:ascii="宋体" w:hAnsi="宋体" w:eastAsia="宋体" w:cs="宋体"/>
          <w:b/>
          <w:bCs/>
          <w:i w:val="0"/>
          <w:iCs w:val="0"/>
          <w:caps w:val="0"/>
          <w:color w:val="auto"/>
          <w:spacing w:val="0"/>
          <w:sz w:val="32"/>
          <w:szCs w:val="32"/>
          <w:shd w:val="clear" w:fill="FFFFFF"/>
        </w:rPr>
        <w:t>项目编号：</w:t>
      </w:r>
      <w:r>
        <w:rPr>
          <w:rStyle w:val="14"/>
          <w:rFonts w:hint="eastAsia" w:ascii="宋体" w:hAnsi="宋体" w:eastAsia="宋体" w:cs="宋体"/>
          <w:b/>
          <w:bCs/>
          <w:i w:val="0"/>
          <w:iCs w:val="0"/>
          <w:caps w:val="0"/>
          <w:color w:val="auto"/>
          <w:spacing w:val="0"/>
          <w:sz w:val="32"/>
          <w:szCs w:val="32"/>
          <w:u w:val="single"/>
          <w:shd w:val="clear" w:fill="FFFFFF"/>
        </w:rPr>
        <w:t>（由投标人填写）</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宋体" w:hAnsi="宋体" w:eastAsia="宋体" w:cs="宋体"/>
          <w:color w:val="auto"/>
          <w:sz w:val="32"/>
          <w:szCs w:val="32"/>
        </w:rPr>
      </w:pPr>
      <w:r>
        <w:rPr>
          <w:rStyle w:val="14"/>
          <w:rFonts w:hint="eastAsia" w:ascii="宋体" w:hAnsi="宋体" w:eastAsia="宋体" w:cs="宋体"/>
          <w:b/>
          <w:bCs/>
          <w:i w:val="0"/>
          <w:iCs w:val="0"/>
          <w:caps w:val="0"/>
          <w:color w:val="auto"/>
          <w:spacing w:val="0"/>
          <w:sz w:val="32"/>
          <w:szCs w:val="32"/>
          <w:shd w:val="clear" w:fill="FFFFFF"/>
        </w:rPr>
        <w:t>所投采购包：</w:t>
      </w:r>
      <w:r>
        <w:rPr>
          <w:rStyle w:val="14"/>
          <w:rFonts w:hint="eastAsia" w:ascii="宋体" w:hAnsi="宋体" w:eastAsia="宋体" w:cs="宋体"/>
          <w:b/>
          <w:bCs/>
          <w:i w:val="0"/>
          <w:iCs w:val="0"/>
          <w:caps w:val="0"/>
          <w:color w:val="auto"/>
          <w:spacing w:val="0"/>
          <w:sz w:val="32"/>
          <w:szCs w:val="32"/>
          <w:u w:val="single"/>
          <w:shd w:val="clear" w:fill="FFFFFF"/>
        </w:rPr>
        <w:t>（由投标人填写）</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32"/>
          <w:szCs w:val="32"/>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32"/>
          <w:szCs w:val="32"/>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32"/>
          <w:szCs w:val="32"/>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32"/>
          <w:szCs w:val="32"/>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32"/>
          <w:szCs w:val="32"/>
        </w:rPr>
      </w:pPr>
      <w:r>
        <w:rPr>
          <w:rStyle w:val="14"/>
          <w:rFonts w:hint="eastAsia" w:ascii="宋体" w:hAnsi="宋体" w:eastAsia="宋体" w:cs="宋体"/>
          <w:b/>
          <w:bCs/>
          <w:i w:val="0"/>
          <w:iCs w:val="0"/>
          <w:caps w:val="0"/>
          <w:color w:val="auto"/>
          <w:spacing w:val="0"/>
          <w:sz w:val="32"/>
          <w:szCs w:val="32"/>
          <w:shd w:val="clear" w:fill="FFFFFF"/>
        </w:rPr>
        <w:t>投标人：</w:t>
      </w:r>
      <w:r>
        <w:rPr>
          <w:rStyle w:val="14"/>
          <w:rFonts w:hint="eastAsia" w:ascii="宋体" w:hAnsi="宋体" w:eastAsia="宋体" w:cs="宋体"/>
          <w:b/>
          <w:bCs/>
          <w:i w:val="0"/>
          <w:iCs w:val="0"/>
          <w:caps w:val="0"/>
          <w:color w:val="auto"/>
          <w:spacing w:val="0"/>
          <w:sz w:val="32"/>
          <w:szCs w:val="32"/>
          <w:u w:val="single"/>
          <w:shd w:val="clear" w:fill="FFFFFF"/>
        </w:rPr>
        <w:t>（填写“全称”）</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32"/>
          <w:szCs w:val="32"/>
        </w:rPr>
      </w:pPr>
      <w:r>
        <w:rPr>
          <w:rStyle w:val="14"/>
          <w:rFonts w:hint="eastAsia" w:ascii="宋体" w:hAnsi="宋体" w:eastAsia="宋体" w:cs="宋体"/>
          <w:b/>
          <w:bCs/>
          <w:i w:val="0"/>
          <w:iCs w:val="0"/>
          <w:caps w:val="0"/>
          <w:color w:val="auto"/>
          <w:spacing w:val="0"/>
          <w:sz w:val="32"/>
          <w:szCs w:val="32"/>
          <w:u w:val="single"/>
          <w:shd w:val="clear" w:fill="FFFFFF"/>
        </w:rPr>
        <w:t>（由投标人填写）</w:t>
      </w:r>
      <w:r>
        <w:rPr>
          <w:rStyle w:val="14"/>
          <w:rFonts w:hint="eastAsia" w:ascii="宋体" w:hAnsi="宋体" w:eastAsia="宋体" w:cs="宋体"/>
          <w:b/>
          <w:bCs/>
          <w:i w:val="0"/>
          <w:iCs w:val="0"/>
          <w:caps w:val="0"/>
          <w:color w:val="auto"/>
          <w:spacing w:val="0"/>
          <w:sz w:val="32"/>
          <w:szCs w:val="32"/>
          <w:shd w:val="clear" w:fill="FFFFFF"/>
        </w:rPr>
        <w:t>年</w:t>
      </w:r>
      <w:r>
        <w:rPr>
          <w:rStyle w:val="14"/>
          <w:rFonts w:hint="eastAsia" w:ascii="宋体" w:hAnsi="宋体" w:eastAsia="宋体" w:cs="宋体"/>
          <w:b/>
          <w:bCs/>
          <w:i w:val="0"/>
          <w:iCs w:val="0"/>
          <w:caps w:val="0"/>
          <w:color w:val="auto"/>
          <w:spacing w:val="0"/>
          <w:sz w:val="32"/>
          <w:szCs w:val="32"/>
          <w:u w:val="single"/>
          <w:shd w:val="clear" w:fill="FFFFFF"/>
        </w:rPr>
        <w:t>（由投标人填写）</w:t>
      </w:r>
      <w:r>
        <w:rPr>
          <w:rStyle w:val="14"/>
          <w:rFonts w:hint="eastAsia" w:ascii="宋体" w:hAnsi="宋体" w:eastAsia="宋体" w:cs="宋体"/>
          <w:b/>
          <w:bCs/>
          <w:i w:val="0"/>
          <w:iCs w:val="0"/>
          <w:caps w:val="0"/>
          <w:color w:val="auto"/>
          <w:spacing w:val="0"/>
          <w:sz w:val="32"/>
          <w:szCs w:val="32"/>
          <w:shd w:val="clear" w:fill="FFFFFF"/>
        </w:rPr>
        <w:t>月</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Style w:val="14"/>
          <w:rFonts w:hint="eastAsia" w:ascii="宋体" w:hAnsi="宋体" w:eastAsia="宋体" w:cs="宋体"/>
          <w:b/>
          <w:bCs/>
          <w:i w:val="0"/>
          <w:iCs w:val="0"/>
          <w:caps w:val="0"/>
          <w:color w:val="auto"/>
          <w:spacing w:val="0"/>
          <w:sz w:val="24"/>
          <w:szCs w:val="24"/>
          <w:shd w:val="clear" w:fill="FFFFFF"/>
        </w:rPr>
        <w:t>索引</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一、标的说明一览表</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二、技术和服务要求响应表</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三、商务条件响应表</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四、投标人提交的其他资料（若有）</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※注意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技术商务部分中不得出现报价部分的全部或部分的投标报价信息（或组成资料），否则</w:t>
      </w:r>
      <w:r>
        <w:rPr>
          <w:rStyle w:val="14"/>
          <w:rFonts w:hint="eastAsia" w:ascii="宋体" w:hAnsi="宋体" w:eastAsia="宋体" w:cs="宋体"/>
          <w:b/>
          <w:bCs/>
          <w:i w:val="0"/>
          <w:iCs w:val="0"/>
          <w:caps w:val="0"/>
          <w:color w:val="auto"/>
          <w:spacing w:val="0"/>
          <w:sz w:val="24"/>
          <w:szCs w:val="24"/>
          <w:shd w:val="clear" w:fill="FFFFFF"/>
        </w:rPr>
        <w:t>符合性审查不合格</w:t>
      </w:r>
      <w:r>
        <w:rPr>
          <w:rFonts w:hint="eastAsia" w:ascii="宋体" w:hAnsi="宋体" w:eastAsia="宋体" w:cs="宋体"/>
          <w:i w:val="0"/>
          <w:iCs w:val="0"/>
          <w:caps w:val="0"/>
          <w:color w:val="auto"/>
          <w:spacing w:val="0"/>
          <w:sz w:val="24"/>
          <w:szCs w:val="24"/>
          <w:shd w:val="clear" w:fill="FFFFFF"/>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br w:type="textWrapping"/>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Style w:val="14"/>
          <w:rFonts w:hint="eastAsia" w:ascii="宋体" w:hAnsi="宋体" w:eastAsia="宋体" w:cs="宋体"/>
          <w:b/>
          <w:bCs/>
          <w:i w:val="0"/>
          <w:iCs w:val="0"/>
          <w:caps w:val="0"/>
          <w:color w:val="auto"/>
          <w:spacing w:val="0"/>
          <w:sz w:val="24"/>
          <w:szCs w:val="24"/>
          <w:shd w:val="clear" w:fill="FFFFFF"/>
        </w:rPr>
        <w:t>一、标的说明一览表</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项目编号：</w:t>
      </w:r>
      <w:r>
        <w:rPr>
          <w:rFonts w:hint="eastAsia" w:ascii="宋体" w:hAnsi="宋体" w:eastAsia="宋体" w:cs="宋体"/>
          <w:i w:val="0"/>
          <w:iCs w:val="0"/>
          <w:caps w:val="0"/>
          <w:color w:val="auto"/>
          <w:spacing w:val="0"/>
          <w:sz w:val="24"/>
          <w:szCs w:val="24"/>
          <w:u w:val="single"/>
          <w:shd w:val="clear" w:fill="FFFFFF"/>
        </w:rPr>
        <w:t>                   </w:t>
      </w:r>
    </w:p>
    <w:tbl>
      <w:tblPr>
        <w:tblStyle w:val="11"/>
        <w:tblW w:w="9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150"/>
        <w:gridCol w:w="1185"/>
        <w:gridCol w:w="1350"/>
        <w:gridCol w:w="930"/>
        <w:gridCol w:w="2205"/>
        <w:gridCol w:w="1080"/>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50"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w:t>
            </w:r>
          </w:p>
        </w:tc>
        <w:tc>
          <w:tcPr>
            <w:tcW w:w="1185"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品目号</w:t>
            </w:r>
          </w:p>
        </w:tc>
        <w:tc>
          <w:tcPr>
            <w:tcW w:w="1350"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投标标的</w:t>
            </w:r>
          </w:p>
        </w:tc>
        <w:tc>
          <w:tcPr>
            <w:tcW w:w="930"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2205"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规格（品牌/型号）</w:t>
            </w:r>
          </w:p>
        </w:tc>
        <w:tc>
          <w:tcPr>
            <w:tcW w:w="1080"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来源地</w:t>
            </w:r>
          </w:p>
        </w:tc>
        <w:tc>
          <w:tcPr>
            <w:tcW w:w="1464"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1150" w:type="dxa"/>
            <w:vMerge w:val="restart"/>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185"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50" w:type="dxa"/>
            <w:shd w:val="clear" w:color="auto" w:fill="auto"/>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c>
          <w:tcPr>
            <w:tcW w:w="930" w:type="dxa"/>
            <w:shd w:val="clear" w:color="auto" w:fill="auto"/>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c>
          <w:tcPr>
            <w:tcW w:w="2205" w:type="dxa"/>
            <w:shd w:val="clear" w:color="auto" w:fill="auto"/>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c>
          <w:tcPr>
            <w:tcW w:w="1080" w:type="dxa"/>
            <w:shd w:val="clear" w:color="auto" w:fill="auto"/>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c>
          <w:tcPr>
            <w:tcW w:w="1464" w:type="dxa"/>
            <w:shd w:val="clear" w:color="auto" w:fill="auto"/>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1150"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0" w:after="0" w:line="400" w:lineRule="exact"/>
              <w:ind w:left="0" w:right="0"/>
              <w:jc w:val="center"/>
              <w:textAlignment w:val="auto"/>
              <w:rPr>
                <w:rFonts w:hint="eastAsia" w:ascii="宋体" w:hAnsi="宋体" w:eastAsia="宋体" w:cs="宋体"/>
                <w:color w:val="auto"/>
                <w:sz w:val="24"/>
                <w:szCs w:val="24"/>
              </w:rPr>
            </w:pPr>
          </w:p>
        </w:tc>
        <w:tc>
          <w:tcPr>
            <w:tcW w:w="1185"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350" w:type="dxa"/>
            <w:shd w:val="clear" w:color="auto" w:fill="auto"/>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c>
          <w:tcPr>
            <w:tcW w:w="930" w:type="dxa"/>
            <w:shd w:val="clear" w:color="auto" w:fill="auto"/>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c>
          <w:tcPr>
            <w:tcW w:w="2205" w:type="dxa"/>
            <w:shd w:val="clear" w:color="auto" w:fill="auto"/>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c>
          <w:tcPr>
            <w:tcW w:w="1080" w:type="dxa"/>
            <w:shd w:val="clear" w:color="auto" w:fill="auto"/>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c>
          <w:tcPr>
            <w:tcW w:w="1464" w:type="dxa"/>
            <w:shd w:val="clear" w:color="auto" w:fill="auto"/>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1150"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18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color w:val="auto"/>
                <w:sz w:val="24"/>
                <w:szCs w:val="24"/>
              </w:rPr>
            </w:pPr>
          </w:p>
        </w:tc>
        <w:tc>
          <w:tcPr>
            <w:tcW w:w="1350" w:type="dxa"/>
            <w:shd w:val="clear" w:color="auto" w:fill="auto"/>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c>
          <w:tcPr>
            <w:tcW w:w="930" w:type="dxa"/>
            <w:shd w:val="clear" w:color="auto" w:fill="auto"/>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c>
          <w:tcPr>
            <w:tcW w:w="2205" w:type="dxa"/>
            <w:shd w:val="clear" w:color="auto" w:fill="auto"/>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c>
          <w:tcPr>
            <w:tcW w:w="1080" w:type="dxa"/>
            <w:shd w:val="clear" w:color="auto" w:fill="auto"/>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c>
          <w:tcPr>
            <w:tcW w:w="1464" w:type="dxa"/>
            <w:shd w:val="clear" w:color="auto" w:fill="auto"/>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r>
    </w:tbl>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※注意：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1、本表应按照下列规定填写：</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1.1“采购包”、“品目号”、“投标标的”及“数量”应与招标文件《采购标的一览表》中的有关内容（“采购包”、“品目号”、“采购标的”及“数量”）保持一致。</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1.2“投标标的”为货物的：</w:t>
      </w:r>
      <w:r>
        <w:rPr>
          <w:rStyle w:val="14"/>
          <w:rFonts w:hint="eastAsia" w:ascii="宋体" w:hAnsi="宋体" w:eastAsia="宋体" w:cs="宋体"/>
          <w:b/>
          <w:bCs/>
          <w:i w:val="0"/>
          <w:iCs w:val="0"/>
          <w:caps w:val="0"/>
          <w:color w:val="auto"/>
          <w:spacing w:val="0"/>
          <w:sz w:val="24"/>
          <w:szCs w:val="24"/>
          <w:shd w:val="clear" w:fill="FFFFFF"/>
        </w:rPr>
        <w:t>“规格”</w:t>
      </w:r>
      <w:r>
        <w:rPr>
          <w:rFonts w:hint="eastAsia" w:ascii="宋体" w:hAnsi="宋体" w:eastAsia="宋体" w:cs="宋体"/>
          <w:i w:val="0"/>
          <w:iCs w:val="0"/>
          <w:caps w:val="0"/>
          <w:color w:val="auto"/>
          <w:spacing w:val="0"/>
          <w:sz w:val="24"/>
          <w:szCs w:val="24"/>
          <w:shd w:val="clear" w:fill="FFFFFF"/>
        </w:rPr>
        <w:t>项下应填写货物制造厂商赋予的品牌（属于节能、环保清单产品的货物，填写的品牌名称应与清单载明的品牌名称保持一致）及具体型号。</w:t>
      </w:r>
      <w:r>
        <w:rPr>
          <w:rStyle w:val="14"/>
          <w:rFonts w:hint="eastAsia" w:ascii="宋体" w:hAnsi="宋体" w:eastAsia="宋体" w:cs="宋体"/>
          <w:b/>
          <w:bCs/>
          <w:i w:val="0"/>
          <w:iCs w:val="0"/>
          <w:caps w:val="0"/>
          <w:color w:val="auto"/>
          <w:spacing w:val="0"/>
          <w:sz w:val="24"/>
          <w:szCs w:val="24"/>
          <w:shd w:val="clear" w:fill="FFFFFF"/>
        </w:rPr>
        <w:t>“来源地”</w:t>
      </w:r>
      <w:r>
        <w:rPr>
          <w:rFonts w:hint="eastAsia" w:ascii="宋体" w:hAnsi="宋体" w:eastAsia="宋体" w:cs="宋体"/>
          <w:i w:val="0"/>
          <w:iCs w:val="0"/>
          <w:caps w:val="0"/>
          <w:color w:val="auto"/>
          <w:spacing w:val="0"/>
          <w:sz w:val="24"/>
          <w:szCs w:val="24"/>
          <w:shd w:val="clear" w:fill="FFFFFF"/>
        </w:rPr>
        <w:t>应填写货物的原产地。</w:t>
      </w:r>
      <w:r>
        <w:rPr>
          <w:rStyle w:val="14"/>
          <w:rFonts w:hint="eastAsia" w:ascii="宋体" w:hAnsi="宋体" w:eastAsia="宋体" w:cs="宋体"/>
          <w:b/>
          <w:bCs/>
          <w:i w:val="0"/>
          <w:iCs w:val="0"/>
          <w:caps w:val="0"/>
          <w:color w:val="auto"/>
          <w:spacing w:val="0"/>
          <w:sz w:val="24"/>
          <w:szCs w:val="24"/>
          <w:shd w:val="clear" w:fill="FFFFFF"/>
        </w:rPr>
        <w:t>“备注”</w:t>
      </w:r>
      <w:r>
        <w:rPr>
          <w:rFonts w:hint="eastAsia" w:ascii="宋体" w:hAnsi="宋体" w:eastAsia="宋体" w:cs="宋体"/>
          <w:i w:val="0"/>
          <w:iCs w:val="0"/>
          <w:caps w:val="0"/>
          <w:color w:val="auto"/>
          <w:spacing w:val="0"/>
          <w:sz w:val="24"/>
          <w:szCs w:val="24"/>
          <w:shd w:val="clear" w:fill="FFFFFF"/>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1.3“投标标的”为服务的：</w:t>
      </w:r>
      <w:r>
        <w:rPr>
          <w:rStyle w:val="14"/>
          <w:rFonts w:hint="eastAsia" w:ascii="宋体" w:hAnsi="宋体" w:eastAsia="宋体" w:cs="宋体"/>
          <w:b/>
          <w:bCs/>
          <w:i w:val="0"/>
          <w:iCs w:val="0"/>
          <w:caps w:val="0"/>
          <w:color w:val="auto"/>
          <w:spacing w:val="0"/>
          <w:sz w:val="24"/>
          <w:szCs w:val="24"/>
          <w:shd w:val="clear" w:fill="FFFFFF"/>
        </w:rPr>
        <w:t>“规格”</w:t>
      </w:r>
      <w:r>
        <w:rPr>
          <w:rFonts w:hint="eastAsia" w:ascii="宋体" w:hAnsi="宋体" w:eastAsia="宋体" w:cs="宋体"/>
          <w:i w:val="0"/>
          <w:iCs w:val="0"/>
          <w:caps w:val="0"/>
          <w:color w:val="auto"/>
          <w:spacing w:val="0"/>
          <w:sz w:val="24"/>
          <w:szCs w:val="24"/>
          <w:shd w:val="clear" w:fill="FFFFFF"/>
        </w:rPr>
        <w:t>项下应填写服务提供者提供的服务标准及品牌（若有）。</w:t>
      </w:r>
      <w:r>
        <w:rPr>
          <w:rStyle w:val="14"/>
          <w:rFonts w:hint="eastAsia" w:ascii="宋体" w:hAnsi="宋体" w:eastAsia="宋体" w:cs="宋体"/>
          <w:b/>
          <w:bCs/>
          <w:i w:val="0"/>
          <w:iCs w:val="0"/>
          <w:caps w:val="0"/>
          <w:color w:val="auto"/>
          <w:spacing w:val="0"/>
          <w:sz w:val="24"/>
          <w:szCs w:val="24"/>
          <w:shd w:val="clear" w:fill="FFFFFF"/>
        </w:rPr>
        <w:t>“来源地”</w:t>
      </w:r>
      <w:r>
        <w:rPr>
          <w:rFonts w:hint="eastAsia" w:ascii="宋体" w:hAnsi="宋体" w:eastAsia="宋体" w:cs="宋体"/>
          <w:i w:val="0"/>
          <w:iCs w:val="0"/>
          <w:caps w:val="0"/>
          <w:color w:val="auto"/>
          <w:spacing w:val="0"/>
          <w:sz w:val="24"/>
          <w:szCs w:val="24"/>
          <w:shd w:val="clear" w:fill="FFFFFF"/>
        </w:rPr>
        <w:t>应填写服务提供者的所在地。</w:t>
      </w:r>
      <w:r>
        <w:rPr>
          <w:rStyle w:val="14"/>
          <w:rFonts w:hint="eastAsia" w:ascii="宋体" w:hAnsi="宋体" w:eastAsia="宋体" w:cs="宋体"/>
          <w:b/>
          <w:bCs/>
          <w:i w:val="0"/>
          <w:iCs w:val="0"/>
          <w:caps w:val="0"/>
          <w:color w:val="auto"/>
          <w:spacing w:val="0"/>
          <w:sz w:val="24"/>
          <w:szCs w:val="24"/>
          <w:shd w:val="clear" w:fill="FFFFFF"/>
        </w:rPr>
        <w:t>“备注”</w:t>
      </w:r>
      <w:r>
        <w:rPr>
          <w:rFonts w:hint="eastAsia" w:ascii="宋体" w:hAnsi="宋体" w:eastAsia="宋体" w:cs="宋体"/>
          <w:i w:val="0"/>
          <w:iCs w:val="0"/>
          <w:caps w:val="0"/>
          <w:color w:val="auto"/>
          <w:spacing w:val="0"/>
          <w:sz w:val="24"/>
          <w:szCs w:val="24"/>
          <w:shd w:val="clear" w:fill="FFFFFF"/>
        </w:rPr>
        <w:t>项下应填写关于服务标准所涵盖的具体项目或内容的说明等。</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2、投标人需要说明的内容若需特殊表达，应先在本表中进行相应说明，再另页应答，但应做好标注说明，方便评委查阅评审。未标注说明可能导致的不利的评审后果由投标人自行承担。</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3、投标文件中涉及</w:t>
      </w:r>
      <w:r>
        <w:rPr>
          <w:rStyle w:val="14"/>
          <w:rFonts w:hint="eastAsia" w:ascii="宋体" w:hAnsi="宋体" w:eastAsia="宋体" w:cs="宋体"/>
          <w:b/>
          <w:bCs/>
          <w:i w:val="0"/>
          <w:iCs w:val="0"/>
          <w:caps w:val="0"/>
          <w:color w:val="auto"/>
          <w:spacing w:val="0"/>
          <w:sz w:val="24"/>
          <w:szCs w:val="24"/>
          <w:shd w:val="clear" w:fill="FFFFFF"/>
        </w:rPr>
        <w:t>“投标标的”、“数量”、“规格”、“来源地”</w:t>
      </w:r>
      <w:r>
        <w:rPr>
          <w:rFonts w:hint="eastAsia" w:ascii="宋体" w:hAnsi="宋体" w:eastAsia="宋体" w:cs="宋体"/>
          <w:i w:val="0"/>
          <w:iCs w:val="0"/>
          <w:caps w:val="0"/>
          <w:color w:val="auto"/>
          <w:spacing w:val="0"/>
          <w:sz w:val="24"/>
          <w:szCs w:val="24"/>
          <w:shd w:val="clear" w:fill="FFFFFF"/>
        </w:rPr>
        <w:t>的内容若不一致，</w:t>
      </w:r>
      <w:r>
        <w:rPr>
          <w:rStyle w:val="14"/>
          <w:rFonts w:hint="eastAsia" w:ascii="宋体" w:hAnsi="宋体" w:eastAsia="宋体" w:cs="宋体"/>
          <w:b/>
          <w:bCs/>
          <w:i w:val="0"/>
          <w:iCs w:val="0"/>
          <w:caps w:val="0"/>
          <w:color w:val="auto"/>
          <w:spacing w:val="0"/>
          <w:sz w:val="24"/>
          <w:szCs w:val="24"/>
          <w:shd w:val="clear" w:fill="FFFFFF"/>
        </w:rPr>
        <w:t>应以本表为准</w:t>
      </w:r>
      <w:r>
        <w:rPr>
          <w:rFonts w:hint="eastAsia" w:ascii="宋体" w:hAnsi="宋体" w:eastAsia="宋体" w:cs="宋体"/>
          <w:i w:val="0"/>
          <w:iCs w:val="0"/>
          <w:caps w:val="0"/>
          <w:color w:val="auto"/>
          <w:spacing w:val="0"/>
          <w:sz w:val="24"/>
          <w:szCs w:val="24"/>
          <w:shd w:val="clear" w:fill="FFFFFF"/>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投标人：</w:t>
      </w:r>
      <w:r>
        <w:rPr>
          <w:rFonts w:hint="eastAsia" w:ascii="宋体" w:hAnsi="宋体" w:eastAsia="宋体" w:cs="宋体"/>
          <w:i w:val="0"/>
          <w:iCs w:val="0"/>
          <w:caps w:val="0"/>
          <w:color w:val="auto"/>
          <w:spacing w:val="0"/>
          <w:sz w:val="24"/>
          <w:szCs w:val="24"/>
          <w:u w:val="single"/>
          <w:shd w:val="clear" w:fill="FFFFFF"/>
        </w:rPr>
        <w:t>（全称并加盖单位公章）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日期：</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年</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24"/>
          <w:szCs w:val="24"/>
          <w:shd w:val="clear" w:fill="FFFFFF"/>
        </w:rPr>
      </w:pPr>
      <w:r>
        <w:rPr>
          <w:rStyle w:val="14"/>
          <w:rFonts w:hint="eastAsia" w:ascii="宋体" w:hAnsi="宋体" w:eastAsia="宋体" w:cs="宋体"/>
          <w:b/>
          <w:bCs/>
          <w:i w:val="0"/>
          <w:iCs w:val="0"/>
          <w:caps w:val="0"/>
          <w:color w:val="auto"/>
          <w:spacing w:val="0"/>
          <w:sz w:val="24"/>
          <w:szCs w:val="24"/>
          <w:shd w:val="clear" w:fill="FFFFFF"/>
        </w:rPr>
        <w:br w:type="textWrapping"/>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Style w:val="14"/>
          <w:rFonts w:hint="eastAsia" w:ascii="宋体" w:hAnsi="宋体" w:eastAsia="宋体" w:cs="宋体"/>
          <w:b/>
          <w:bCs/>
          <w:i w:val="0"/>
          <w:iCs w:val="0"/>
          <w:caps w:val="0"/>
          <w:color w:val="auto"/>
          <w:spacing w:val="0"/>
          <w:sz w:val="24"/>
          <w:szCs w:val="24"/>
          <w:shd w:val="clear" w:fill="FFFFFF"/>
        </w:rPr>
        <w:t>二、技术和服务要求响应表</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项目编号：</w:t>
      </w:r>
      <w:r>
        <w:rPr>
          <w:rFonts w:hint="eastAsia" w:ascii="宋体" w:hAnsi="宋体" w:eastAsia="宋体" w:cs="宋体"/>
          <w:i w:val="0"/>
          <w:iCs w:val="0"/>
          <w:caps w:val="0"/>
          <w:color w:val="auto"/>
          <w:spacing w:val="0"/>
          <w:sz w:val="24"/>
          <w:szCs w:val="24"/>
          <w:u w:val="single"/>
          <w:shd w:val="clear" w:fill="FFFFFF"/>
        </w:rPr>
        <w:t>                   </w:t>
      </w:r>
    </w:p>
    <w:tbl>
      <w:tblPr>
        <w:tblStyle w:val="11"/>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960"/>
        <w:gridCol w:w="1136"/>
        <w:gridCol w:w="2689"/>
        <w:gridCol w:w="1845"/>
        <w:gridCol w:w="2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55" w:hRule="atLeast"/>
          <w:jc w:val="center"/>
        </w:trPr>
        <w:tc>
          <w:tcPr>
            <w:tcW w:w="960"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w:t>
            </w:r>
          </w:p>
        </w:tc>
        <w:tc>
          <w:tcPr>
            <w:tcW w:w="1136"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品目号</w:t>
            </w:r>
          </w:p>
        </w:tc>
        <w:tc>
          <w:tcPr>
            <w:tcW w:w="2689"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技术和服务要求</w:t>
            </w:r>
          </w:p>
        </w:tc>
        <w:tc>
          <w:tcPr>
            <w:tcW w:w="1845"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投标响应</w:t>
            </w:r>
          </w:p>
        </w:tc>
        <w:tc>
          <w:tcPr>
            <w:tcW w:w="2765"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60" w:type="dxa"/>
            <w:vMerge w:val="restart"/>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136"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689" w:type="dxa"/>
            <w:shd w:val="clear" w:color="auto" w:fill="auto"/>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c>
          <w:tcPr>
            <w:tcW w:w="1845" w:type="dxa"/>
            <w:shd w:val="clear" w:color="auto" w:fill="auto"/>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c>
          <w:tcPr>
            <w:tcW w:w="2765" w:type="dxa"/>
            <w:shd w:val="clear" w:color="auto" w:fill="auto"/>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60"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0" w:after="0" w:line="400" w:lineRule="exact"/>
              <w:ind w:left="0" w:right="0"/>
              <w:jc w:val="center"/>
              <w:textAlignment w:val="auto"/>
              <w:rPr>
                <w:rFonts w:hint="eastAsia" w:ascii="宋体" w:hAnsi="宋体" w:eastAsia="宋体" w:cs="宋体"/>
                <w:color w:val="auto"/>
                <w:sz w:val="24"/>
                <w:szCs w:val="24"/>
              </w:rPr>
            </w:pPr>
          </w:p>
        </w:tc>
        <w:tc>
          <w:tcPr>
            <w:tcW w:w="1136"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689" w:type="dxa"/>
            <w:shd w:val="clear" w:color="auto" w:fill="auto"/>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c>
          <w:tcPr>
            <w:tcW w:w="1845" w:type="dxa"/>
            <w:shd w:val="clear" w:color="auto" w:fill="auto"/>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c>
          <w:tcPr>
            <w:tcW w:w="2765" w:type="dxa"/>
            <w:shd w:val="clear" w:color="auto" w:fill="auto"/>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60"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136"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color w:val="auto"/>
                <w:sz w:val="24"/>
                <w:szCs w:val="24"/>
              </w:rPr>
            </w:pPr>
          </w:p>
        </w:tc>
        <w:tc>
          <w:tcPr>
            <w:tcW w:w="2689"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c>
          <w:tcPr>
            <w:tcW w:w="184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c>
          <w:tcPr>
            <w:tcW w:w="276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r>
    </w:tbl>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※注意：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1、本表应按照下列规定填写：</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1.1“技术和服务要求”项下填写的内容应与招标文件第五章“技术和服务要求”的内容保持一致。</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1.3“是否偏离及说明”项下应按下列规定填写：优于的，填写“正偏离”；符合的，填写“无偏离”；低于的，填写“负偏离”。</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2、投标人需要说明的内容若需特殊表达，应先在本表中进行相应说明，再另页应答，但应做好标注说明，方便评委查阅评审。未标注说明可能导致的不利的评审后果由投标人自行承担。</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投标人：</w:t>
      </w:r>
      <w:r>
        <w:rPr>
          <w:rFonts w:hint="eastAsia" w:ascii="宋体" w:hAnsi="宋体" w:eastAsia="宋体" w:cs="宋体"/>
          <w:i w:val="0"/>
          <w:iCs w:val="0"/>
          <w:caps w:val="0"/>
          <w:color w:val="auto"/>
          <w:spacing w:val="0"/>
          <w:sz w:val="24"/>
          <w:szCs w:val="24"/>
          <w:u w:val="single"/>
          <w:shd w:val="clear" w:fill="FFFFFF"/>
        </w:rPr>
        <w:t>（全称并加盖单位公章）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日期：</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年</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br w:type="textWrapping"/>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Style w:val="14"/>
          <w:rFonts w:hint="eastAsia" w:ascii="宋体" w:hAnsi="宋体" w:eastAsia="宋体" w:cs="宋体"/>
          <w:b/>
          <w:bCs/>
          <w:i w:val="0"/>
          <w:iCs w:val="0"/>
          <w:caps w:val="0"/>
          <w:color w:val="auto"/>
          <w:spacing w:val="0"/>
          <w:sz w:val="24"/>
          <w:szCs w:val="24"/>
          <w:shd w:val="clear" w:fill="FFFFFF"/>
        </w:rPr>
        <w:t>三、商务条件响应表</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项目编号：</w:t>
      </w:r>
      <w:r>
        <w:rPr>
          <w:rFonts w:hint="eastAsia" w:ascii="宋体" w:hAnsi="宋体" w:eastAsia="宋体" w:cs="宋体"/>
          <w:i w:val="0"/>
          <w:iCs w:val="0"/>
          <w:caps w:val="0"/>
          <w:color w:val="auto"/>
          <w:spacing w:val="0"/>
          <w:sz w:val="24"/>
          <w:szCs w:val="24"/>
          <w:u w:val="single"/>
          <w:shd w:val="clear" w:fill="FFFFFF"/>
        </w:rPr>
        <w:t>                   </w:t>
      </w:r>
    </w:p>
    <w:tbl>
      <w:tblPr>
        <w:tblStyle w:val="11"/>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233"/>
        <w:gridCol w:w="1211"/>
        <w:gridCol w:w="2614"/>
        <w:gridCol w:w="1845"/>
        <w:gridCol w:w="2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1233"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w:t>
            </w:r>
          </w:p>
        </w:tc>
        <w:tc>
          <w:tcPr>
            <w:tcW w:w="1211"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品目号</w:t>
            </w:r>
          </w:p>
        </w:tc>
        <w:tc>
          <w:tcPr>
            <w:tcW w:w="2614"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商务条件</w:t>
            </w:r>
          </w:p>
        </w:tc>
        <w:tc>
          <w:tcPr>
            <w:tcW w:w="1845"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投标响应</w:t>
            </w:r>
          </w:p>
        </w:tc>
        <w:tc>
          <w:tcPr>
            <w:tcW w:w="2468"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1233" w:type="dxa"/>
            <w:vMerge w:val="restart"/>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211"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614" w:type="dxa"/>
            <w:shd w:val="clear" w:color="auto" w:fill="auto"/>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c>
          <w:tcPr>
            <w:tcW w:w="1845" w:type="dxa"/>
            <w:shd w:val="clear" w:color="auto" w:fill="auto"/>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c>
          <w:tcPr>
            <w:tcW w:w="2468" w:type="dxa"/>
            <w:shd w:val="clear" w:color="auto" w:fill="auto"/>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1233"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0" w:after="0" w:line="400" w:lineRule="exact"/>
              <w:ind w:left="0" w:right="0"/>
              <w:jc w:val="center"/>
              <w:textAlignment w:val="auto"/>
              <w:rPr>
                <w:rFonts w:hint="eastAsia" w:ascii="宋体" w:hAnsi="宋体" w:eastAsia="宋体" w:cs="宋体"/>
                <w:color w:val="auto"/>
                <w:sz w:val="24"/>
                <w:szCs w:val="24"/>
              </w:rPr>
            </w:pPr>
          </w:p>
        </w:tc>
        <w:tc>
          <w:tcPr>
            <w:tcW w:w="1211"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614" w:type="dxa"/>
            <w:shd w:val="clear" w:color="auto" w:fill="auto"/>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c>
          <w:tcPr>
            <w:tcW w:w="1845" w:type="dxa"/>
            <w:shd w:val="clear" w:color="auto" w:fill="auto"/>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c>
          <w:tcPr>
            <w:tcW w:w="2468" w:type="dxa"/>
            <w:shd w:val="clear" w:color="auto" w:fill="auto"/>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1233" w:type="dxa"/>
            <w:shd w:val="clear" w:color="auto" w:fill="auto"/>
            <w:tcMar>
              <w:top w:w="0" w:type="dxa"/>
              <w:left w:w="105" w:type="dxa"/>
              <w:bottom w:w="0" w:type="dxa"/>
              <w:right w:w="105" w:type="dxa"/>
            </w:tcMar>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211"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color w:val="auto"/>
                <w:sz w:val="24"/>
                <w:szCs w:val="24"/>
              </w:rPr>
            </w:pPr>
          </w:p>
        </w:tc>
        <w:tc>
          <w:tcPr>
            <w:tcW w:w="2614"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c>
          <w:tcPr>
            <w:tcW w:w="184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c>
          <w:tcPr>
            <w:tcW w:w="2468"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auto"/>
                <w:sz w:val="24"/>
                <w:szCs w:val="24"/>
              </w:rPr>
            </w:pPr>
          </w:p>
        </w:tc>
      </w:tr>
    </w:tbl>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※注意：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1、本表应按照下列规定填写：</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1.1“商务条件”项下填写的内容应与招标文件第五章“商务条件”的内容保持一致。</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1.2“投标响应”项下应填写具体的响应内容并与“商务条件”项下填写的内容逐项对应；对“商务条件”项下涉及“≥或＞”、“≤或＜”及某个区间值范围内的内容，应填写具体的数值。</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1.3“是否偏离及说明”项下应按下列规定填写：优于的，填写“正偏离”；符合的，填写“无偏离”；低于的，填写“负偏离”。</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2、投标人需要说明的内容若需特殊表达，应先在本表中进行相应说明，再另页应答，但应做好标注说明，方便评委查阅评审。未标注说明可能导致的不利的评审后果由投标人自行承担。</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投标人：</w:t>
      </w:r>
      <w:r>
        <w:rPr>
          <w:rFonts w:hint="eastAsia" w:ascii="宋体" w:hAnsi="宋体" w:eastAsia="宋体" w:cs="宋体"/>
          <w:i w:val="0"/>
          <w:iCs w:val="0"/>
          <w:caps w:val="0"/>
          <w:color w:val="auto"/>
          <w:spacing w:val="0"/>
          <w:sz w:val="24"/>
          <w:szCs w:val="24"/>
          <w:u w:val="single"/>
          <w:shd w:val="clear" w:fill="FFFFFF"/>
        </w:rPr>
        <w:t>（全称并加盖单位公章）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日期：</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年</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i w:val="0"/>
          <w:iCs w:val="0"/>
          <w:caps w:val="0"/>
          <w:color w:val="auto"/>
          <w:spacing w:val="0"/>
          <w:sz w:val="24"/>
          <w:szCs w:val="24"/>
          <w:shd w:val="clear" w:fill="FFFFFF"/>
        </w:rPr>
        <w:br w:type="textWrapping"/>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Style w:val="14"/>
          <w:rFonts w:hint="eastAsia" w:ascii="宋体" w:hAnsi="宋体" w:eastAsia="宋体" w:cs="宋体"/>
          <w:b/>
          <w:bCs/>
          <w:i w:val="0"/>
          <w:iCs w:val="0"/>
          <w:caps w:val="0"/>
          <w:color w:val="auto"/>
          <w:spacing w:val="0"/>
          <w:sz w:val="24"/>
          <w:szCs w:val="24"/>
          <w:shd w:val="clear" w:fill="FFFFFF"/>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Style w:val="14"/>
          <w:rFonts w:hint="eastAsia" w:ascii="宋体" w:hAnsi="宋体" w:eastAsia="宋体" w:cs="宋体"/>
          <w:b/>
          <w:bCs/>
          <w:i w:val="0"/>
          <w:iCs w:val="0"/>
          <w:caps w:val="0"/>
          <w:color w:val="auto"/>
          <w:spacing w:val="0"/>
          <w:sz w:val="24"/>
          <w:szCs w:val="24"/>
          <w:shd w:val="clear" w:fill="FFFFFF"/>
        </w:rPr>
        <w:t>四、投标人提交的其他资料（若有）</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编制说明</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1、招标文件要求提交的除</w:t>
      </w:r>
      <w:r>
        <w:rPr>
          <w:rStyle w:val="14"/>
          <w:rFonts w:hint="eastAsia" w:ascii="宋体" w:hAnsi="宋体" w:eastAsia="宋体" w:cs="宋体"/>
          <w:b/>
          <w:bCs/>
          <w:i w:val="0"/>
          <w:iCs w:val="0"/>
          <w:caps w:val="0"/>
          <w:color w:val="auto"/>
          <w:spacing w:val="0"/>
          <w:sz w:val="24"/>
          <w:szCs w:val="24"/>
          <w:shd w:val="clear" w:fill="FFFFFF"/>
        </w:rPr>
        <w:t>“资格及资信证明部分”、“报价部分”</w:t>
      </w:r>
      <w:r>
        <w:rPr>
          <w:rFonts w:hint="eastAsia" w:ascii="宋体" w:hAnsi="宋体" w:eastAsia="宋体" w:cs="宋体"/>
          <w:i w:val="0"/>
          <w:iCs w:val="0"/>
          <w:caps w:val="0"/>
          <w:color w:val="auto"/>
          <w:spacing w:val="0"/>
          <w:sz w:val="24"/>
          <w:szCs w:val="24"/>
          <w:shd w:val="clear" w:fill="FFFFFF"/>
        </w:rPr>
        <w:t>外的其他证明材料或资料加盖投标人的单位公章后应在此项下提交。</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2、招标文件要求投标人提供方案（包括但不限于：组织、实施、技术、服务方案等）的，投标人应在此项下提交。</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3、除招标文件另有规定外，投标人认为需要提交的其他证明材料或资料加盖投标人的单位公章后应在此项下提交。</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bCs/>
          <w:i w:val="0"/>
          <w:iCs w:val="0"/>
          <w:caps w:val="0"/>
          <w:color w:val="auto"/>
          <w:spacing w:val="0"/>
          <w:sz w:val="32"/>
          <w:szCs w:val="32"/>
          <w:shd w:val="clear" w:fill="FFFFFF"/>
        </w:rPr>
        <w:t>采购文件相关附件</w:t>
      </w:r>
    </w:p>
    <w:p>
      <w:pPr>
        <w:keepNext w:val="0"/>
        <w:keepLines w:val="0"/>
        <w:pageBreakBefore w:val="0"/>
        <w:kinsoku/>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color w:val="auto"/>
          <w:sz w:val="24"/>
          <w:szCs w:val="24"/>
        </w:rPr>
      </w:pPr>
    </w:p>
    <w:sectPr>
      <w:footerReference r:id="rId3" w:type="default"/>
      <w:pgSz w:w="11906" w:h="16838"/>
      <w:pgMar w:top="1417" w:right="1134" w:bottom="1417" w:left="113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57F461"/>
    <w:multiLevelType w:val="singleLevel"/>
    <w:tmpl w:val="0A57F461"/>
    <w:lvl w:ilvl="0" w:tentative="0">
      <w:start w:val="1"/>
      <w:numFmt w:val="decimal"/>
      <w:suff w:val="nothing"/>
      <w:lvlText w:val="%1"/>
      <w:lvlJc w:val="center"/>
      <w:pPr>
        <w:tabs>
          <w:tab w:val="left" w:pos="0"/>
        </w:tabs>
        <w:ind w:left="0" w:firstLine="0"/>
      </w:pPr>
      <w:rPr>
        <w:rFonts w:hint="default"/>
      </w:rPr>
    </w:lvl>
  </w:abstractNum>
  <w:abstractNum w:abstractNumId="1">
    <w:nsid w:val="523617BF"/>
    <w:multiLevelType w:val="multilevel"/>
    <w:tmpl w:val="523617BF"/>
    <w:lvl w:ilvl="0" w:tentative="0">
      <w:start w:val="1"/>
      <w:numFmt w:val="decimalEnclosedCircle"/>
      <w:lvlText w:val="%1"/>
      <w:lvlJc w:val="left"/>
      <w:pPr>
        <w:ind w:left="1596" w:hanging="360"/>
      </w:pPr>
      <w:rPr>
        <w:rFonts w:hint="default"/>
      </w:rPr>
    </w:lvl>
    <w:lvl w:ilvl="1" w:tentative="0">
      <w:start w:val="1"/>
      <w:numFmt w:val="lowerLetter"/>
      <w:lvlText w:val="%2)"/>
      <w:lvlJc w:val="left"/>
      <w:pPr>
        <w:ind w:left="2076" w:hanging="420"/>
      </w:pPr>
    </w:lvl>
    <w:lvl w:ilvl="2" w:tentative="0">
      <w:start w:val="1"/>
      <w:numFmt w:val="lowerRoman"/>
      <w:lvlText w:val="%3."/>
      <w:lvlJc w:val="right"/>
      <w:pPr>
        <w:ind w:left="2496" w:hanging="420"/>
      </w:pPr>
    </w:lvl>
    <w:lvl w:ilvl="3" w:tentative="0">
      <w:start w:val="1"/>
      <w:numFmt w:val="decimal"/>
      <w:lvlText w:val="%4."/>
      <w:lvlJc w:val="left"/>
      <w:pPr>
        <w:ind w:left="2916" w:hanging="420"/>
      </w:pPr>
    </w:lvl>
    <w:lvl w:ilvl="4" w:tentative="0">
      <w:start w:val="1"/>
      <w:numFmt w:val="lowerLetter"/>
      <w:lvlText w:val="%5)"/>
      <w:lvlJc w:val="left"/>
      <w:pPr>
        <w:ind w:left="3336" w:hanging="420"/>
      </w:pPr>
    </w:lvl>
    <w:lvl w:ilvl="5" w:tentative="0">
      <w:start w:val="1"/>
      <w:numFmt w:val="lowerRoman"/>
      <w:lvlText w:val="%6."/>
      <w:lvlJc w:val="right"/>
      <w:pPr>
        <w:ind w:left="3756" w:hanging="420"/>
      </w:pPr>
    </w:lvl>
    <w:lvl w:ilvl="6" w:tentative="0">
      <w:start w:val="1"/>
      <w:numFmt w:val="decimal"/>
      <w:lvlText w:val="%7."/>
      <w:lvlJc w:val="left"/>
      <w:pPr>
        <w:ind w:left="4176" w:hanging="420"/>
      </w:pPr>
    </w:lvl>
    <w:lvl w:ilvl="7" w:tentative="0">
      <w:start w:val="1"/>
      <w:numFmt w:val="lowerLetter"/>
      <w:lvlText w:val="%8)"/>
      <w:lvlJc w:val="left"/>
      <w:pPr>
        <w:ind w:left="4596" w:hanging="420"/>
      </w:pPr>
    </w:lvl>
    <w:lvl w:ilvl="8" w:tentative="0">
      <w:start w:val="1"/>
      <w:numFmt w:val="lowerRoman"/>
      <w:lvlText w:val="%9."/>
      <w:lvlJc w:val="right"/>
      <w:pPr>
        <w:ind w:left="5016" w:hanging="420"/>
      </w:pPr>
    </w:lvl>
  </w:abstractNum>
  <w:abstractNum w:abstractNumId="2">
    <w:nsid w:val="7A0E4DF5"/>
    <w:multiLevelType w:val="singleLevel"/>
    <w:tmpl w:val="7A0E4DF5"/>
    <w:lvl w:ilvl="0" w:tentative="0">
      <w:start w:val="1"/>
      <w:numFmt w:val="chineseCounting"/>
      <w:suff w:val="nothing"/>
      <w:lvlText w:val="%1、"/>
      <w:lvlJc w:val="left"/>
      <w:rPr>
        <w:rFonts w:hint="eastAsia"/>
      </w:rPr>
    </w:lvl>
  </w:abstractNum>
  <w:abstractNum w:abstractNumId="3">
    <w:nsid w:val="7AEA56B4"/>
    <w:multiLevelType w:val="singleLevel"/>
    <w:tmpl w:val="7AEA56B4"/>
    <w:lvl w:ilvl="0" w:tentative="0">
      <w:start w:val="2"/>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4YmUzMzMxMDQ5MDUzYjEwZmQzZGQ2MGVlZjk4NzEifQ=="/>
  </w:docVars>
  <w:rsids>
    <w:rsidRoot w:val="4748265E"/>
    <w:rsid w:val="00585719"/>
    <w:rsid w:val="01317F69"/>
    <w:rsid w:val="01C42B8B"/>
    <w:rsid w:val="02902A6D"/>
    <w:rsid w:val="02CE6DE9"/>
    <w:rsid w:val="03E12F49"/>
    <w:rsid w:val="04120721"/>
    <w:rsid w:val="043B4C5B"/>
    <w:rsid w:val="049F51EA"/>
    <w:rsid w:val="052134AE"/>
    <w:rsid w:val="057B0CF5"/>
    <w:rsid w:val="06CF58F6"/>
    <w:rsid w:val="0828199A"/>
    <w:rsid w:val="08A96637"/>
    <w:rsid w:val="08BD6586"/>
    <w:rsid w:val="09566309"/>
    <w:rsid w:val="09E60981"/>
    <w:rsid w:val="0C1E2A2D"/>
    <w:rsid w:val="0C2C74E5"/>
    <w:rsid w:val="0C7B29E0"/>
    <w:rsid w:val="0DDC12BD"/>
    <w:rsid w:val="0ECA7307"/>
    <w:rsid w:val="10401F77"/>
    <w:rsid w:val="10A67900"/>
    <w:rsid w:val="117C3515"/>
    <w:rsid w:val="14154F63"/>
    <w:rsid w:val="18360133"/>
    <w:rsid w:val="195F5DAE"/>
    <w:rsid w:val="19800E8E"/>
    <w:rsid w:val="19A1526E"/>
    <w:rsid w:val="19E9549C"/>
    <w:rsid w:val="1A1E55E3"/>
    <w:rsid w:val="1A985DC1"/>
    <w:rsid w:val="1B5B4923"/>
    <w:rsid w:val="1BE337C6"/>
    <w:rsid w:val="1CB25F20"/>
    <w:rsid w:val="1F936BDD"/>
    <w:rsid w:val="1FDE28F3"/>
    <w:rsid w:val="20761C48"/>
    <w:rsid w:val="21297E95"/>
    <w:rsid w:val="219E2DEB"/>
    <w:rsid w:val="21CB2031"/>
    <w:rsid w:val="23FB16C0"/>
    <w:rsid w:val="242C61F0"/>
    <w:rsid w:val="2499542F"/>
    <w:rsid w:val="25DD69C0"/>
    <w:rsid w:val="274E68CC"/>
    <w:rsid w:val="279F35CF"/>
    <w:rsid w:val="298130FF"/>
    <w:rsid w:val="29F91218"/>
    <w:rsid w:val="2A9F6EC0"/>
    <w:rsid w:val="2B3A2BD4"/>
    <w:rsid w:val="2D883C2C"/>
    <w:rsid w:val="2E8B0409"/>
    <w:rsid w:val="2F462D62"/>
    <w:rsid w:val="2FA05D9D"/>
    <w:rsid w:val="2FB8057A"/>
    <w:rsid w:val="321F6F3E"/>
    <w:rsid w:val="32EA3B58"/>
    <w:rsid w:val="339A0AF3"/>
    <w:rsid w:val="34580D8D"/>
    <w:rsid w:val="34BB6546"/>
    <w:rsid w:val="353213DD"/>
    <w:rsid w:val="35D408E8"/>
    <w:rsid w:val="36C4455F"/>
    <w:rsid w:val="386D27EB"/>
    <w:rsid w:val="3AF02F34"/>
    <w:rsid w:val="3BB7265E"/>
    <w:rsid w:val="3C0161AE"/>
    <w:rsid w:val="3E4520F7"/>
    <w:rsid w:val="43F52CFB"/>
    <w:rsid w:val="443F1622"/>
    <w:rsid w:val="45A36C03"/>
    <w:rsid w:val="45BD18F1"/>
    <w:rsid w:val="46155B08"/>
    <w:rsid w:val="466143BC"/>
    <w:rsid w:val="46F74436"/>
    <w:rsid w:val="4748265E"/>
    <w:rsid w:val="47DD0DAD"/>
    <w:rsid w:val="47E30FB0"/>
    <w:rsid w:val="48A94129"/>
    <w:rsid w:val="49E36D98"/>
    <w:rsid w:val="4A1F63B7"/>
    <w:rsid w:val="4A321C81"/>
    <w:rsid w:val="4B742A75"/>
    <w:rsid w:val="4B861663"/>
    <w:rsid w:val="4C64492B"/>
    <w:rsid w:val="4C7E1155"/>
    <w:rsid w:val="4D7E379E"/>
    <w:rsid w:val="4E1E0FFC"/>
    <w:rsid w:val="4EB73928"/>
    <w:rsid w:val="4F7D1494"/>
    <w:rsid w:val="4F8D612B"/>
    <w:rsid w:val="502D711A"/>
    <w:rsid w:val="52265FB5"/>
    <w:rsid w:val="52285DEB"/>
    <w:rsid w:val="53A452C5"/>
    <w:rsid w:val="53A72D40"/>
    <w:rsid w:val="54BA6AA3"/>
    <w:rsid w:val="56D2366A"/>
    <w:rsid w:val="56E479B5"/>
    <w:rsid w:val="575643FE"/>
    <w:rsid w:val="5831755D"/>
    <w:rsid w:val="59C81391"/>
    <w:rsid w:val="5A957D96"/>
    <w:rsid w:val="5A9D240C"/>
    <w:rsid w:val="5AD675F7"/>
    <w:rsid w:val="5B645911"/>
    <w:rsid w:val="5BB137FC"/>
    <w:rsid w:val="5BBD60C1"/>
    <w:rsid w:val="5C62404B"/>
    <w:rsid w:val="5D177188"/>
    <w:rsid w:val="5E3061C4"/>
    <w:rsid w:val="5E3F5388"/>
    <w:rsid w:val="5F34087E"/>
    <w:rsid w:val="5FF12EA3"/>
    <w:rsid w:val="60EE4AFB"/>
    <w:rsid w:val="60EF7306"/>
    <w:rsid w:val="62157B4E"/>
    <w:rsid w:val="62473B4A"/>
    <w:rsid w:val="628E1B2F"/>
    <w:rsid w:val="6307409C"/>
    <w:rsid w:val="64385A2F"/>
    <w:rsid w:val="645F77A0"/>
    <w:rsid w:val="659F6EC0"/>
    <w:rsid w:val="65C510A6"/>
    <w:rsid w:val="67A56412"/>
    <w:rsid w:val="681349F0"/>
    <w:rsid w:val="688A55CD"/>
    <w:rsid w:val="68D04DC4"/>
    <w:rsid w:val="68DF55B0"/>
    <w:rsid w:val="68EE188F"/>
    <w:rsid w:val="69217B6C"/>
    <w:rsid w:val="69315BF1"/>
    <w:rsid w:val="6B032AFA"/>
    <w:rsid w:val="6B3B22B4"/>
    <w:rsid w:val="6BE34E78"/>
    <w:rsid w:val="6DBE12DC"/>
    <w:rsid w:val="6DF2085E"/>
    <w:rsid w:val="6E104455"/>
    <w:rsid w:val="6E355BC6"/>
    <w:rsid w:val="6F7840AA"/>
    <w:rsid w:val="706E2E5F"/>
    <w:rsid w:val="714B1C7D"/>
    <w:rsid w:val="72A2709C"/>
    <w:rsid w:val="730C6EF4"/>
    <w:rsid w:val="73313999"/>
    <w:rsid w:val="73667C95"/>
    <w:rsid w:val="74797294"/>
    <w:rsid w:val="74983CAD"/>
    <w:rsid w:val="74D44690"/>
    <w:rsid w:val="750000AA"/>
    <w:rsid w:val="75A5137D"/>
    <w:rsid w:val="769D3B17"/>
    <w:rsid w:val="777E2AB0"/>
    <w:rsid w:val="78506CD1"/>
    <w:rsid w:val="78FB45F7"/>
    <w:rsid w:val="792B4A20"/>
    <w:rsid w:val="7AF53C0B"/>
    <w:rsid w:val="7D2C4948"/>
    <w:rsid w:val="7E056C7D"/>
    <w:rsid w:val="7E4F2F76"/>
    <w:rsid w:val="7F800765"/>
    <w:rsid w:val="7FA20C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spacing w:line="400" w:lineRule="exact"/>
      <w:ind w:firstLine="480" w:firstLineChars="200"/>
    </w:pPr>
    <w:rPr>
      <w:szCs w:val="24"/>
    </w:rPr>
  </w:style>
  <w:style w:type="paragraph" w:styleId="7">
    <w:name w:val="Plain Text"/>
    <w:basedOn w:val="1"/>
    <w:qFormat/>
    <w:uiPriority w:val="0"/>
    <w:pPr>
      <w:tabs>
        <w:tab w:val="left" w:pos="902"/>
      </w:tabs>
      <w:spacing w:line="500" w:lineRule="exact"/>
      <w:ind w:firstLine="425"/>
    </w:pPr>
    <w:rPr>
      <w:rFonts w:ascii="宋体" w:hAnsi="Courier New" w:eastAsia="宋体" w:cs="Times New Roman"/>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paragraph" w:styleId="15">
    <w:name w:val="List Paragraph"/>
    <w:basedOn w:val="1"/>
    <w:qFormat/>
    <w:uiPriority w:val="34"/>
    <w:pPr>
      <w:ind w:firstLine="420" w:firstLineChars="200"/>
    </w:pPr>
  </w:style>
  <w:style w:type="character" w:customStyle="1" w:styleId="16">
    <w:name w:val="font11"/>
    <w:basedOn w:val="13"/>
    <w:qFormat/>
    <w:uiPriority w:val="0"/>
    <w:rPr>
      <w:rFonts w:hint="eastAsia" w:ascii="宋体" w:hAnsi="宋体" w:eastAsia="宋体" w:cs="宋体"/>
      <w:color w:val="000000"/>
      <w:sz w:val="24"/>
      <w:szCs w:val="24"/>
      <w:u w:val="none"/>
    </w:rPr>
  </w:style>
  <w:style w:type="character" w:customStyle="1" w:styleId="17">
    <w:name w:val="font0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124</Pages>
  <Words>73367</Words>
  <Characters>79259</Characters>
  <Lines>0</Lines>
  <Paragraphs>0</Paragraphs>
  <TotalTime>14</TotalTime>
  <ScaleCrop>false</ScaleCrop>
  <LinksUpToDate>false</LinksUpToDate>
  <CharactersWithSpaces>81600</CharactersWithSpaces>
  <Application>WPS Office_11.1.0.12975_F1E327BC-269C-435d-A152-05C5408002CA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2022-09-27T00:30:00Z</dcterms:created>
  <dc:creator>Administrator</dc:creator>
  <cp:lastModifiedBy>Administrator</cp:lastModifiedBy>
  <dcterms:modified xsi:type="dcterms:W3CDTF">2022-12-01T08:20:52Z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2052-11.1.0.12975</vt:lpwstr>
  </property>
  <property fmtid="{D5CDD505-2E9C-101B-9397-08002B2CF9AE}" pid="3" name="ICV">
    <vt:lpwstr>C36F7FC1278E4D739CC64DCA51687488</vt:lpwstr>
  </property>
</Properties>
</file>